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2B13" w14:textId="77777777" w:rsidR="00F6576E" w:rsidRDefault="00000000">
      <w:pPr>
        <w:widowControl/>
        <w:spacing w:line="560" w:lineRule="exact"/>
        <w:jc w:val="left"/>
        <w:rPr>
          <w:rFonts w:ascii="黑体" w:eastAsia="黑体" w:hAnsi="黑体" w:cs="方正小标宋_GBK" w:hint="eastAsia"/>
          <w:sz w:val="32"/>
          <w:szCs w:val="32"/>
        </w:rPr>
      </w:pPr>
      <w:bookmarkStart w:id="0" w:name="OLE_LINK1"/>
      <w:r>
        <w:rPr>
          <w:rFonts w:ascii="黑体" w:eastAsia="黑体" w:hAnsi="黑体" w:cs="方正小标宋_GBK" w:hint="eastAsia"/>
          <w:sz w:val="32"/>
          <w:szCs w:val="32"/>
        </w:rPr>
        <w:t>附件1</w:t>
      </w:r>
    </w:p>
    <w:p w14:paraId="34BF6B85" w14:textId="77777777" w:rsidR="00F6576E" w:rsidRDefault="00000000">
      <w:pPr>
        <w:widowControl/>
        <w:spacing w:line="560" w:lineRule="exact"/>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呼和浩特市科技项目绩效评价管理办法</w:t>
      </w:r>
    </w:p>
    <w:p w14:paraId="2E8C8B49" w14:textId="77777777" w:rsidR="00F6576E" w:rsidRDefault="00000000">
      <w:pPr>
        <w:widowControl/>
        <w:spacing w:line="560" w:lineRule="exact"/>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（试行）</w:t>
      </w:r>
    </w:p>
    <w:p w14:paraId="60C82B50" w14:textId="77777777" w:rsidR="00F6576E" w:rsidRDefault="00F6576E">
      <w:pPr>
        <w:widowControl/>
        <w:shd w:val="clear" w:color="auto" w:fill="FFFFFF"/>
        <w:spacing w:line="560" w:lineRule="exact"/>
        <w:jc w:val="center"/>
        <w:rPr>
          <w:rFonts w:ascii="方正小标宋_GBK" w:eastAsia="方正小标宋_GBK" w:cs="方正小标宋_GBK"/>
          <w:sz w:val="44"/>
          <w:szCs w:val="44"/>
        </w:rPr>
      </w:pPr>
    </w:p>
    <w:p w14:paraId="7A3273F3" w14:textId="77777777" w:rsidR="00F6576E" w:rsidRDefault="00000000">
      <w:pPr>
        <w:pStyle w:val="aa"/>
        <w:widowControl w:val="0"/>
        <w:shd w:val="clear" w:color="auto" w:fill="FFFFFF"/>
        <w:spacing w:before="0" w:beforeAutospacing="0" w:after="0" w:afterAutospacing="0" w:line="560" w:lineRule="exact"/>
        <w:jc w:val="center"/>
        <w:rPr>
          <w:rFonts w:ascii="黑体" w:eastAsia="黑体" w:hAnsi="Times New Roman"/>
          <w:kern w:val="2"/>
          <w:sz w:val="32"/>
          <w:szCs w:val="32"/>
        </w:rPr>
      </w:pPr>
      <w:r>
        <w:rPr>
          <w:rFonts w:ascii="黑体" w:eastAsia="黑体" w:hAnsi="Times New Roman" w:hint="eastAsia"/>
          <w:kern w:val="2"/>
          <w:sz w:val="32"/>
          <w:szCs w:val="32"/>
        </w:rPr>
        <w:t>第一章</w:t>
      </w:r>
      <w:r>
        <w:rPr>
          <w:rFonts w:ascii="黑体" w:eastAsia="黑体" w:hAnsi="Times New Roman"/>
          <w:kern w:val="2"/>
          <w:sz w:val="32"/>
          <w:szCs w:val="32"/>
        </w:rPr>
        <w:t xml:space="preserve">  </w:t>
      </w:r>
      <w:r>
        <w:rPr>
          <w:rFonts w:ascii="黑体" w:eastAsia="黑体" w:hAnsi="Times New Roman" w:hint="eastAsia"/>
          <w:kern w:val="2"/>
          <w:sz w:val="32"/>
          <w:szCs w:val="32"/>
        </w:rPr>
        <w:t>总</w:t>
      </w:r>
      <w:r>
        <w:rPr>
          <w:rFonts w:ascii="黑体" w:eastAsia="黑体" w:hAnsi="Times New Roman"/>
          <w:kern w:val="2"/>
          <w:sz w:val="32"/>
          <w:szCs w:val="32"/>
        </w:rPr>
        <w:t xml:space="preserve"> </w:t>
      </w:r>
      <w:r>
        <w:rPr>
          <w:rFonts w:ascii="黑体" w:eastAsia="黑体" w:hAnsi="Times New Roman" w:hint="eastAsia"/>
          <w:kern w:val="2"/>
          <w:sz w:val="32"/>
          <w:szCs w:val="32"/>
        </w:rPr>
        <w:t>则</w:t>
      </w:r>
    </w:p>
    <w:p w14:paraId="7C9733F3"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hint="eastAsia"/>
          <w:b/>
          <w:bCs/>
          <w:kern w:val="2"/>
        </w:rPr>
      </w:pPr>
      <w:r>
        <w:rPr>
          <w:rFonts w:ascii="仿宋_GB2312" w:eastAsia="仿宋_GB2312" w:hint="eastAsia"/>
          <w:b/>
          <w:kern w:val="2"/>
          <w:sz w:val="32"/>
          <w:szCs w:val="32"/>
        </w:rPr>
        <w:t>第一条</w:t>
      </w:r>
      <w:r>
        <w:rPr>
          <w:rFonts w:ascii="仿宋_GB2312" w:eastAsia="仿宋_GB2312"/>
          <w:b/>
          <w:kern w:val="2"/>
          <w:sz w:val="32"/>
          <w:szCs w:val="32"/>
        </w:rPr>
        <w:t xml:space="preserve"> </w:t>
      </w:r>
      <w:r>
        <w:rPr>
          <w:rFonts w:ascii="仿宋_GB2312" w:eastAsia="仿宋_GB2312" w:hint="eastAsia"/>
          <w:kern w:val="2"/>
          <w:sz w:val="32"/>
          <w:szCs w:val="32"/>
        </w:rPr>
        <w:t>为建立科学有效的呼和浩特市科技项目绩效评价工作体系，优化科技资源配置，提高项目实施成效和财政资金使用效益，根据《内蒙古自治区项目支出绩效评价管理办法》（内政办发〔</w:t>
      </w:r>
      <w:r>
        <w:rPr>
          <w:rFonts w:ascii="仿宋_GB2312" w:eastAsia="仿宋_GB2312"/>
          <w:kern w:val="2"/>
          <w:sz w:val="32"/>
          <w:szCs w:val="32"/>
        </w:rPr>
        <w:t>20</w:t>
      </w:r>
      <w:r>
        <w:rPr>
          <w:rFonts w:ascii="仿宋_GB2312" w:eastAsia="仿宋_GB2312" w:hint="eastAsia"/>
          <w:kern w:val="2"/>
          <w:sz w:val="32"/>
          <w:szCs w:val="32"/>
        </w:rPr>
        <w:t>21〕5号）《内蒙古自治区科技计划项目支出绩效评价工作规程》（</w:t>
      </w:r>
      <w:proofErr w:type="gramStart"/>
      <w:r>
        <w:rPr>
          <w:rFonts w:ascii="仿宋_GB2312" w:eastAsia="仿宋_GB2312" w:hint="eastAsia"/>
          <w:kern w:val="2"/>
          <w:sz w:val="32"/>
          <w:szCs w:val="32"/>
        </w:rPr>
        <w:t>内科资字〔2022〕</w:t>
      </w:r>
      <w:proofErr w:type="gramEnd"/>
      <w:r>
        <w:rPr>
          <w:rFonts w:ascii="仿宋_GB2312" w:eastAsia="仿宋_GB2312" w:hint="eastAsia"/>
          <w:kern w:val="2"/>
          <w:sz w:val="32"/>
          <w:szCs w:val="32"/>
        </w:rPr>
        <w:t>9号）《呼和浩特市本级科技专项资金管理办法》（</w:t>
      </w:r>
      <w:proofErr w:type="gramStart"/>
      <w:r>
        <w:rPr>
          <w:rFonts w:ascii="仿宋_GB2312" w:eastAsia="仿宋_GB2312" w:hint="eastAsia"/>
          <w:kern w:val="2"/>
          <w:sz w:val="32"/>
          <w:szCs w:val="32"/>
        </w:rPr>
        <w:t>呼财科规</w:t>
      </w:r>
      <w:proofErr w:type="gramEnd"/>
      <w:r>
        <w:rPr>
          <w:rFonts w:ascii="仿宋_GB2312" w:eastAsia="仿宋_GB2312" w:hint="eastAsia"/>
          <w:kern w:val="2"/>
          <w:sz w:val="32"/>
          <w:szCs w:val="32"/>
        </w:rPr>
        <w:t>〔2023〕1号）等要求，结合我市科技项目和资金管理实际，制定本办法。</w:t>
      </w:r>
    </w:p>
    <w:p w14:paraId="4FB0E916"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第二条</w:t>
      </w:r>
      <w:r>
        <w:rPr>
          <w:rFonts w:ascii="仿宋_GB2312" w:eastAsia="仿宋_GB2312"/>
          <w:b/>
          <w:kern w:val="2"/>
          <w:sz w:val="32"/>
          <w:szCs w:val="32"/>
        </w:rPr>
        <w:t xml:space="preserve"> </w:t>
      </w:r>
      <w:r>
        <w:rPr>
          <w:rFonts w:ascii="仿宋_GB2312" w:eastAsia="仿宋_GB2312" w:hint="eastAsia"/>
          <w:kern w:val="2"/>
          <w:sz w:val="32"/>
          <w:szCs w:val="32"/>
        </w:rPr>
        <w:t>本办法适用于市级财政科技、人才等资金支持的各类科技项目。</w:t>
      </w:r>
    </w:p>
    <w:p w14:paraId="50EADBEA"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 xml:space="preserve">第三条 </w:t>
      </w:r>
      <w:r>
        <w:rPr>
          <w:rFonts w:ascii="仿宋_GB2312" w:eastAsia="仿宋_GB2312" w:hint="eastAsia"/>
          <w:kern w:val="2"/>
          <w:sz w:val="32"/>
          <w:szCs w:val="32"/>
        </w:rPr>
        <w:t>科技项目绩效评价指市科技局运用科学的方法、合理的评价指标、规范的程序和统一的评价原则，对市本级科技项目的决策部署、组织管理、既定目标实现程度、产出质量、资金投入与使用情况、经济社会效益等开展的绩效评价。</w:t>
      </w:r>
    </w:p>
    <w:p w14:paraId="5D038190"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第四条</w:t>
      </w:r>
      <w:r>
        <w:rPr>
          <w:rFonts w:ascii="仿宋_GB2312" w:eastAsia="仿宋_GB2312"/>
          <w:b/>
          <w:kern w:val="2"/>
          <w:sz w:val="32"/>
          <w:szCs w:val="32"/>
        </w:rPr>
        <w:t xml:space="preserve"> </w:t>
      </w:r>
      <w:r>
        <w:rPr>
          <w:rFonts w:ascii="仿宋_GB2312" w:eastAsia="仿宋_GB2312" w:hint="eastAsia"/>
          <w:kern w:val="2"/>
          <w:sz w:val="32"/>
          <w:szCs w:val="32"/>
        </w:rPr>
        <w:t>科技项目绩效评价遵循以下基本原则：</w:t>
      </w:r>
    </w:p>
    <w:p w14:paraId="6A8E5E2E"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楷体" w:eastAsia="楷体" w:hAnsi="楷体" w:cs="楷体" w:hint="eastAsia"/>
          <w:kern w:val="2"/>
          <w:sz w:val="32"/>
          <w:szCs w:val="32"/>
        </w:rPr>
        <w:t>（一）科学公正。</w:t>
      </w:r>
      <w:r>
        <w:rPr>
          <w:rFonts w:ascii="仿宋_GB2312" w:eastAsia="仿宋_GB2312" w:hint="eastAsia"/>
          <w:kern w:val="2"/>
          <w:sz w:val="32"/>
          <w:szCs w:val="32"/>
        </w:rPr>
        <w:t>严格执行规定程序，客观、真实、准确反映科技项目的实际情况，保证评价工作的独立性和公正性，确保评价结果的科学性和客观性。</w:t>
      </w:r>
    </w:p>
    <w:p w14:paraId="72C007FD"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楷体" w:eastAsia="楷体" w:hAnsi="楷体" w:cs="楷体" w:hint="eastAsia"/>
          <w:kern w:val="2"/>
          <w:sz w:val="32"/>
          <w:szCs w:val="32"/>
        </w:rPr>
        <w:t>（二）分类评价。</w:t>
      </w:r>
      <w:r>
        <w:rPr>
          <w:rFonts w:ascii="仿宋_GB2312" w:eastAsia="仿宋_GB2312" w:hint="eastAsia"/>
          <w:kern w:val="2"/>
          <w:sz w:val="32"/>
          <w:szCs w:val="32"/>
        </w:rPr>
        <w:t>根据不同项目类别特点，把握科研渐进性和成果阶段性特点，分别设置评价指标，组织实施分类绩效评价。</w:t>
      </w:r>
    </w:p>
    <w:p w14:paraId="4BFF69B9"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eastAsia="仿宋_GB2312" w:hint="eastAsia"/>
          <w:b/>
          <w:bCs/>
          <w:kern w:val="2"/>
        </w:rPr>
      </w:pPr>
      <w:r>
        <w:rPr>
          <w:rFonts w:ascii="楷体" w:eastAsia="楷体" w:hAnsi="楷体" w:cs="楷体" w:hint="eastAsia"/>
          <w:kern w:val="2"/>
          <w:sz w:val="32"/>
          <w:szCs w:val="32"/>
        </w:rPr>
        <w:lastRenderedPageBreak/>
        <w:t>（三）激励约束。</w:t>
      </w:r>
      <w:r>
        <w:rPr>
          <w:rFonts w:ascii="仿宋_GB2312" w:eastAsia="仿宋_GB2312" w:hint="eastAsia"/>
          <w:kern w:val="2"/>
          <w:sz w:val="32"/>
          <w:szCs w:val="32"/>
        </w:rPr>
        <w:t>加强评价结果在政策制定、资源配置、激励约束、成果转化等方面的综合运用，进一步引导和识别高质量成果产出，发挥绩效评价在</w:t>
      </w:r>
      <w:proofErr w:type="gramStart"/>
      <w:r>
        <w:rPr>
          <w:rFonts w:ascii="仿宋_GB2312" w:eastAsia="仿宋_GB2312" w:hint="eastAsia"/>
          <w:kern w:val="2"/>
          <w:sz w:val="32"/>
          <w:szCs w:val="32"/>
        </w:rPr>
        <w:t>构建全</w:t>
      </w:r>
      <w:proofErr w:type="gramEnd"/>
      <w:r>
        <w:rPr>
          <w:rFonts w:ascii="仿宋_GB2312" w:eastAsia="仿宋_GB2312" w:hint="eastAsia"/>
          <w:kern w:val="2"/>
          <w:sz w:val="32"/>
          <w:szCs w:val="32"/>
        </w:rPr>
        <w:t>过程创新生态链中的作用。</w:t>
      </w:r>
    </w:p>
    <w:p w14:paraId="2087BEF1"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bCs/>
          <w:kern w:val="2"/>
          <w:sz w:val="32"/>
          <w:szCs w:val="32"/>
        </w:rPr>
        <w:t>第五条</w:t>
      </w:r>
      <w:r>
        <w:rPr>
          <w:rFonts w:ascii="仿宋_GB2312" w:eastAsia="仿宋_GB2312" w:hint="eastAsia"/>
          <w:kern w:val="2"/>
          <w:sz w:val="32"/>
          <w:szCs w:val="32"/>
        </w:rPr>
        <w:t xml:space="preserve"> 科技项目绩效评价依据：</w:t>
      </w:r>
    </w:p>
    <w:p w14:paraId="12B4EA23"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（一）国家相关法律、法规和规章制度；自治区和呼和浩特市地方性法规和规章制度；</w:t>
      </w:r>
    </w:p>
    <w:p w14:paraId="4186F83D"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（二）党中央、国务院决策部署，经济社会发展目标；自治区及呼和浩特市各级党委和政府重点任务要求，科技与经济社会发展目标；</w:t>
      </w:r>
    </w:p>
    <w:p w14:paraId="71EE067C"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（三）科技项目、资金等管理办法、规程等；</w:t>
      </w:r>
    </w:p>
    <w:p w14:paraId="537BCA71"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（四）相关行业政策、行业标准及专业技术规范；</w:t>
      </w:r>
    </w:p>
    <w:p w14:paraId="4F123395"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（五）项目承担单位职能职责、科技项目任务目标、绩效目标、科研诚信承诺、结题（验收）报告等；</w:t>
      </w:r>
    </w:p>
    <w:p w14:paraId="0851AF80"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（六）科技项目财务会计资料、绩效管理基础材料等；</w:t>
      </w:r>
    </w:p>
    <w:p w14:paraId="40C68935"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（七）其他相关资料。</w:t>
      </w:r>
    </w:p>
    <w:p w14:paraId="1B8A8994" w14:textId="77777777" w:rsidR="00F6576E" w:rsidRDefault="00000000">
      <w:pPr>
        <w:pStyle w:val="aa"/>
        <w:widowControl w:val="0"/>
        <w:shd w:val="clear" w:color="auto" w:fill="FFFFFF"/>
        <w:spacing w:before="0" w:beforeAutospacing="0" w:after="0" w:afterAutospacing="0" w:line="580" w:lineRule="exact"/>
        <w:jc w:val="center"/>
        <w:rPr>
          <w:rStyle w:val="ab"/>
          <w:rFonts w:ascii="黑体" w:eastAsia="黑体" w:hAnsi="黑体" w:cs="方正黑体_GBK" w:hint="eastAsia"/>
          <w:b w:val="0"/>
          <w:spacing w:val="18"/>
          <w:sz w:val="32"/>
          <w:szCs w:val="32"/>
        </w:rPr>
      </w:pPr>
      <w:r>
        <w:rPr>
          <w:rFonts w:ascii="黑体" w:eastAsia="黑体" w:hAnsi="Times New Roman" w:hint="eastAsia"/>
          <w:kern w:val="2"/>
          <w:sz w:val="32"/>
          <w:szCs w:val="32"/>
        </w:rPr>
        <w:t>第二章</w:t>
      </w:r>
      <w:r>
        <w:rPr>
          <w:rStyle w:val="ab"/>
          <w:rFonts w:ascii="黑体" w:eastAsia="黑体" w:hAnsi="黑体" w:cs="方正黑体_GBK"/>
          <w:b w:val="0"/>
          <w:spacing w:val="18"/>
          <w:sz w:val="32"/>
          <w:szCs w:val="32"/>
        </w:rPr>
        <w:t xml:space="preserve">  </w:t>
      </w:r>
      <w:r>
        <w:rPr>
          <w:rStyle w:val="ab"/>
          <w:rFonts w:ascii="黑体" w:eastAsia="黑体" w:hAnsi="黑体" w:cs="方正黑体_GBK" w:hint="eastAsia"/>
          <w:b w:val="0"/>
          <w:spacing w:val="18"/>
          <w:sz w:val="32"/>
          <w:szCs w:val="32"/>
        </w:rPr>
        <w:t>职责分工</w:t>
      </w:r>
    </w:p>
    <w:p w14:paraId="2CCCA5A5"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kern w:val="2"/>
          <w:sz w:val="32"/>
          <w:szCs w:val="32"/>
        </w:rPr>
      </w:pPr>
      <w:r>
        <w:rPr>
          <w:rFonts w:ascii="仿宋_GB2312" w:eastAsia="仿宋_GB2312" w:hint="eastAsia"/>
          <w:b/>
          <w:kern w:val="2"/>
          <w:sz w:val="32"/>
          <w:szCs w:val="32"/>
        </w:rPr>
        <w:t>第六条</w:t>
      </w:r>
      <w:r>
        <w:rPr>
          <w:rFonts w:ascii="仿宋_GB2312" w:eastAsia="仿宋_GB2312"/>
          <w:b/>
          <w:kern w:val="2"/>
          <w:sz w:val="32"/>
          <w:szCs w:val="32"/>
        </w:rPr>
        <w:t xml:space="preserve"> </w:t>
      </w:r>
      <w:r>
        <w:rPr>
          <w:rFonts w:ascii="仿宋_GB2312" w:eastAsia="仿宋_GB2312" w:hint="eastAsia"/>
          <w:bCs/>
          <w:kern w:val="2"/>
          <w:sz w:val="32"/>
          <w:szCs w:val="32"/>
        </w:rPr>
        <w:t>市科技局是科技项目绩效评价的管理部门，负责制定市本级科技项目绩效评价办法；制定绩效评价工作计划，设计绩效评价指标体系；督促项目承担单位依法合</w:t>
      </w:r>
      <w:proofErr w:type="gramStart"/>
      <w:r>
        <w:rPr>
          <w:rFonts w:ascii="仿宋_GB2312" w:eastAsia="仿宋_GB2312" w:hint="eastAsia"/>
          <w:bCs/>
          <w:kern w:val="2"/>
          <w:sz w:val="32"/>
          <w:szCs w:val="32"/>
        </w:rPr>
        <w:t>规</w:t>
      </w:r>
      <w:proofErr w:type="gramEnd"/>
      <w:r>
        <w:rPr>
          <w:rFonts w:ascii="仿宋_GB2312" w:eastAsia="仿宋_GB2312" w:hint="eastAsia"/>
          <w:bCs/>
          <w:kern w:val="2"/>
          <w:sz w:val="32"/>
          <w:szCs w:val="32"/>
        </w:rPr>
        <w:t>、按时保质完成项目各项指标和提交项目绩效评价有关材料；组织绩效评价专家或委托第三方机构实施绩效评价，审核、确定绩效评价报告，推进绩效评价结果应用等。</w:t>
      </w:r>
    </w:p>
    <w:p w14:paraId="41FB6B3B"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kern w:val="2"/>
          <w:sz w:val="32"/>
          <w:szCs w:val="32"/>
        </w:rPr>
      </w:pPr>
      <w:r>
        <w:rPr>
          <w:rFonts w:ascii="仿宋_GB2312" w:eastAsia="仿宋_GB2312" w:hint="eastAsia"/>
          <w:b/>
          <w:kern w:val="2"/>
          <w:sz w:val="32"/>
          <w:szCs w:val="32"/>
        </w:rPr>
        <w:t>第七条</w:t>
      </w:r>
      <w:r>
        <w:rPr>
          <w:rFonts w:ascii="仿宋_GB2312" w:eastAsia="仿宋_GB2312" w:hint="eastAsia"/>
          <w:bCs/>
          <w:kern w:val="2"/>
          <w:sz w:val="32"/>
          <w:szCs w:val="32"/>
        </w:rPr>
        <w:t xml:space="preserve"> 旗县区、开发区等科技管理部门、高等院校和科研</w:t>
      </w:r>
      <w:r>
        <w:rPr>
          <w:rFonts w:ascii="仿宋_GB2312" w:eastAsia="仿宋_GB2312" w:hint="eastAsia"/>
          <w:bCs/>
          <w:kern w:val="2"/>
          <w:sz w:val="32"/>
          <w:szCs w:val="32"/>
        </w:rPr>
        <w:lastRenderedPageBreak/>
        <w:t>院所、市属有关单位、经市科技局核准的其他单位等是科技项目绩效评价的归口管理部门，负责按照绩效评价相关要求，配合管理部门组织、督促本地区或本部门承担的市本级科技项目开展单位自评和绩效评价工作，汇总分析单位自评情况，督促落实绩效评价整改意见。</w:t>
      </w:r>
    </w:p>
    <w:p w14:paraId="654D8A6D"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kern w:val="2"/>
          <w:sz w:val="32"/>
          <w:szCs w:val="32"/>
        </w:rPr>
      </w:pPr>
      <w:r>
        <w:rPr>
          <w:rFonts w:ascii="仿宋_GB2312" w:eastAsia="仿宋_GB2312" w:hint="eastAsia"/>
          <w:b/>
          <w:kern w:val="2"/>
          <w:sz w:val="32"/>
          <w:szCs w:val="32"/>
        </w:rPr>
        <w:t>第八条</w:t>
      </w:r>
      <w:r>
        <w:rPr>
          <w:rFonts w:ascii="仿宋_GB2312" w:eastAsia="仿宋_GB2312" w:hint="eastAsia"/>
          <w:bCs/>
          <w:kern w:val="2"/>
          <w:sz w:val="32"/>
          <w:szCs w:val="32"/>
        </w:rPr>
        <w:t xml:space="preserve"> 各类科技项目及其承担单位、参与单位是科技项目绩效评价对象，负责按照有关要求开展单位自评工作；接受和配合开展绩效评价工作，按绩效评价结果和意见及时开展整改等工作。</w:t>
      </w:r>
    </w:p>
    <w:p w14:paraId="6AC46930"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
          <w:kern w:val="2"/>
          <w:sz w:val="32"/>
          <w:szCs w:val="32"/>
        </w:rPr>
      </w:pPr>
      <w:r>
        <w:rPr>
          <w:rFonts w:ascii="仿宋_GB2312" w:eastAsia="仿宋_GB2312" w:hint="eastAsia"/>
          <w:b/>
          <w:kern w:val="2"/>
          <w:sz w:val="32"/>
          <w:szCs w:val="32"/>
        </w:rPr>
        <w:t>第九条</w:t>
      </w:r>
      <w:r>
        <w:rPr>
          <w:rFonts w:ascii="仿宋_GB2312" w:eastAsia="仿宋_GB2312" w:hint="eastAsia"/>
          <w:bCs/>
          <w:kern w:val="2"/>
          <w:sz w:val="32"/>
          <w:szCs w:val="32"/>
        </w:rPr>
        <w:t xml:space="preserve"> 绩效评价专家和受委托的第三方机构是科技项目绩效评价实施方，负责根据委托任务或合同约定，制定评价工作方案，独立开展评价活动，按要求向管理部门提交绩效评价报告并对报告内容和结果负责，做好异议问题沟通处理等。</w:t>
      </w:r>
    </w:p>
    <w:p w14:paraId="0C043E5E" w14:textId="77777777" w:rsidR="00F6576E" w:rsidRDefault="00000000">
      <w:pPr>
        <w:pStyle w:val="aa"/>
        <w:widowControl w:val="0"/>
        <w:shd w:val="clear" w:color="auto" w:fill="FFFFFF"/>
        <w:spacing w:before="0" w:beforeAutospacing="0" w:after="0" w:afterAutospacing="0" w:line="580" w:lineRule="exact"/>
        <w:jc w:val="center"/>
        <w:rPr>
          <w:rFonts w:ascii="黑体" w:eastAsia="黑体" w:hAnsi="Times New Roman"/>
          <w:kern w:val="2"/>
          <w:sz w:val="32"/>
          <w:szCs w:val="32"/>
        </w:rPr>
      </w:pPr>
      <w:r>
        <w:rPr>
          <w:rFonts w:ascii="黑体" w:eastAsia="黑体" w:hAnsi="Times New Roman" w:hint="eastAsia"/>
          <w:kern w:val="2"/>
          <w:sz w:val="32"/>
          <w:szCs w:val="32"/>
        </w:rPr>
        <w:t>第三章</w:t>
      </w:r>
      <w:r>
        <w:rPr>
          <w:rStyle w:val="ab"/>
          <w:rFonts w:ascii="黑体" w:eastAsia="黑体" w:hAnsi="黑体" w:cs="方正黑体_GBK"/>
          <w:b w:val="0"/>
          <w:spacing w:val="18"/>
          <w:sz w:val="32"/>
          <w:szCs w:val="32"/>
        </w:rPr>
        <w:t xml:space="preserve">  </w:t>
      </w:r>
      <w:r>
        <w:rPr>
          <w:rFonts w:ascii="黑体" w:eastAsia="黑体" w:hAnsi="Times New Roman" w:hint="eastAsia"/>
          <w:kern w:val="2"/>
          <w:sz w:val="32"/>
          <w:szCs w:val="32"/>
        </w:rPr>
        <w:t>评价内容、方法和指标</w:t>
      </w:r>
    </w:p>
    <w:p w14:paraId="19D94D3B"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第十条</w:t>
      </w:r>
      <w:r>
        <w:rPr>
          <w:rFonts w:ascii="仿宋_GB2312" w:eastAsia="仿宋_GB2312" w:hint="eastAsia"/>
          <w:bCs/>
          <w:sz w:val="32"/>
          <w:szCs w:val="32"/>
        </w:rPr>
        <w:t xml:space="preserve"> 科技项目绩效评价分为单位自评和部门评价。</w:t>
      </w:r>
    </w:p>
    <w:p w14:paraId="407482F0"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第十一条</w:t>
      </w:r>
      <w:r>
        <w:rPr>
          <w:rFonts w:ascii="仿宋_GB2312" w:eastAsia="仿宋_GB2312" w:hint="eastAsia"/>
          <w:bCs/>
          <w:sz w:val="32"/>
          <w:szCs w:val="32"/>
        </w:rPr>
        <w:t xml:space="preserve"> 单位自评是</w:t>
      </w:r>
      <w:proofErr w:type="gramStart"/>
      <w:r>
        <w:rPr>
          <w:rFonts w:ascii="仿宋_GB2312" w:eastAsia="仿宋_GB2312" w:hint="eastAsia"/>
          <w:bCs/>
          <w:sz w:val="32"/>
          <w:szCs w:val="32"/>
        </w:rPr>
        <w:t>指评价</w:t>
      </w:r>
      <w:proofErr w:type="gramEnd"/>
      <w:r>
        <w:rPr>
          <w:rFonts w:ascii="仿宋_GB2312" w:eastAsia="仿宋_GB2312" w:hint="eastAsia"/>
          <w:bCs/>
          <w:sz w:val="32"/>
          <w:szCs w:val="32"/>
        </w:rPr>
        <w:t>对象对批复的科技项目绩效目标完成情况进行自我评价，主要评价项目总体绩效目标、各项绩效指标完成情况以及预算执行情况；对未完成绩效目标或偏离绩效目标较大的项目应当分析并说明原因，研究提出改进措施。原则上在科技项目第二个执行年度开展。</w:t>
      </w:r>
    </w:p>
    <w:p w14:paraId="50CFF4FF"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第十二条</w:t>
      </w:r>
      <w:r>
        <w:rPr>
          <w:rFonts w:ascii="仿宋_GB2312" w:eastAsia="仿宋_GB2312" w:hint="eastAsia"/>
          <w:bCs/>
          <w:sz w:val="32"/>
          <w:szCs w:val="32"/>
        </w:rPr>
        <w:t xml:space="preserve"> 部门评价是指科技项目管理部门运用科学合理的绩效评价指标、评价标准、评价方法，对科技项目开展的绩效评价，分为事前评价、阶段评价和综合评价。</w:t>
      </w:r>
    </w:p>
    <w:p w14:paraId="54F6C33C"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bCs/>
          <w:sz w:val="32"/>
          <w:szCs w:val="32"/>
        </w:rPr>
      </w:pPr>
      <w:r>
        <w:rPr>
          <w:rFonts w:ascii="楷体" w:eastAsia="楷体" w:hAnsi="楷体" w:cs="楷体" w:hint="eastAsia"/>
          <w:bCs/>
          <w:sz w:val="32"/>
          <w:szCs w:val="32"/>
        </w:rPr>
        <w:lastRenderedPageBreak/>
        <w:t>（一）事前绩效评估。</w:t>
      </w:r>
      <w:r>
        <w:rPr>
          <w:rFonts w:ascii="仿宋_GB2312" w:eastAsia="仿宋_GB2312" w:hint="eastAsia"/>
          <w:bCs/>
          <w:sz w:val="32"/>
          <w:szCs w:val="32"/>
        </w:rPr>
        <w:t>对新立项的科技项目须进行事前绩效评价（项目评审），重点评价立项的必要性、投入经济性、目标合理性、实施方案可行性、筹资合</w:t>
      </w:r>
      <w:proofErr w:type="gramStart"/>
      <w:r>
        <w:rPr>
          <w:rFonts w:ascii="仿宋_GB2312" w:eastAsia="仿宋_GB2312" w:hint="eastAsia"/>
          <w:bCs/>
          <w:sz w:val="32"/>
          <w:szCs w:val="32"/>
        </w:rPr>
        <w:t>规</w:t>
      </w:r>
      <w:proofErr w:type="gramEnd"/>
      <w:r>
        <w:rPr>
          <w:rFonts w:ascii="仿宋_GB2312" w:eastAsia="仿宋_GB2312" w:hint="eastAsia"/>
          <w:bCs/>
          <w:sz w:val="32"/>
          <w:szCs w:val="32"/>
        </w:rPr>
        <w:t>性等。</w:t>
      </w:r>
    </w:p>
    <w:p w14:paraId="19ACC485"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bCs/>
          <w:sz w:val="32"/>
          <w:szCs w:val="32"/>
        </w:rPr>
      </w:pPr>
      <w:r>
        <w:rPr>
          <w:rFonts w:ascii="楷体" w:eastAsia="楷体" w:hAnsi="楷体" w:cs="楷体" w:hint="eastAsia"/>
          <w:bCs/>
          <w:sz w:val="32"/>
          <w:szCs w:val="32"/>
        </w:rPr>
        <w:t>（二）阶段绩效评价。</w:t>
      </w:r>
      <w:r>
        <w:rPr>
          <w:rFonts w:ascii="仿宋_GB2312" w:eastAsia="仿宋_GB2312" w:hint="eastAsia"/>
          <w:bCs/>
          <w:sz w:val="32"/>
          <w:szCs w:val="32"/>
        </w:rPr>
        <w:t>对在执行期内或分期拨款节点的科技项目</w:t>
      </w:r>
      <w:proofErr w:type="gramStart"/>
      <w:r>
        <w:rPr>
          <w:rFonts w:ascii="仿宋_GB2312" w:eastAsia="仿宋_GB2312" w:hint="eastAsia"/>
          <w:bCs/>
          <w:sz w:val="32"/>
          <w:szCs w:val="32"/>
        </w:rPr>
        <w:t>须开展</w:t>
      </w:r>
      <w:proofErr w:type="gramEnd"/>
      <w:r>
        <w:rPr>
          <w:rFonts w:ascii="仿宋_GB2312" w:eastAsia="仿宋_GB2312" w:hint="eastAsia"/>
          <w:bCs/>
          <w:sz w:val="32"/>
          <w:szCs w:val="32"/>
        </w:rPr>
        <w:t>阶段绩效评价，重点评价项目基础条件保障、研发任务和考核指标阶段完成情况、阶段性成果产出及资金管理使用情况等。</w:t>
      </w:r>
    </w:p>
    <w:p w14:paraId="13FBCF20"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b/>
          <w:sz w:val="32"/>
          <w:szCs w:val="32"/>
        </w:rPr>
      </w:pPr>
      <w:r>
        <w:rPr>
          <w:rFonts w:ascii="楷体" w:eastAsia="楷体" w:hAnsi="楷体" w:cs="楷体" w:hint="eastAsia"/>
          <w:bCs/>
          <w:sz w:val="32"/>
          <w:szCs w:val="32"/>
        </w:rPr>
        <w:t>（三）综合绩效评价。</w:t>
      </w:r>
      <w:r>
        <w:rPr>
          <w:rFonts w:ascii="仿宋_GB2312" w:eastAsia="仿宋_GB2312" w:hint="eastAsia"/>
          <w:bCs/>
          <w:sz w:val="32"/>
          <w:szCs w:val="32"/>
        </w:rPr>
        <w:t>科技项目执行期结束后</w:t>
      </w:r>
      <w:proofErr w:type="gramStart"/>
      <w:r>
        <w:rPr>
          <w:rFonts w:ascii="仿宋_GB2312" w:eastAsia="仿宋_GB2312" w:hint="eastAsia"/>
          <w:bCs/>
          <w:sz w:val="32"/>
          <w:szCs w:val="32"/>
        </w:rPr>
        <w:t>须开展</w:t>
      </w:r>
      <w:proofErr w:type="gramEnd"/>
      <w:r>
        <w:rPr>
          <w:rFonts w:ascii="仿宋_GB2312" w:eastAsia="仿宋_GB2312" w:hint="eastAsia"/>
          <w:bCs/>
          <w:sz w:val="32"/>
          <w:szCs w:val="32"/>
        </w:rPr>
        <w:t>综合绩效评价（验收绩效评价），重点评价项目目标和考核指标完成情况、研究成果的水平及创新性、成果示范推广及应用前景、项目组织管理和内部协作配合、人才培养、资金管理使用情况、预算执行与调整等。</w:t>
      </w:r>
    </w:p>
    <w:p w14:paraId="3E45C9EE"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第十三条</w:t>
      </w:r>
      <w:r>
        <w:rPr>
          <w:rFonts w:ascii="仿宋_GB2312" w:eastAsia="仿宋_GB2312" w:hint="eastAsia"/>
          <w:bCs/>
          <w:sz w:val="32"/>
          <w:szCs w:val="32"/>
        </w:rPr>
        <w:t xml:space="preserve"> 绩效评价的方法主要包括：成本效益分析法、比较法、因素分析法、最低成本法、公众评判法、标杆管理法等。根据评价对象的具体情况，可采用一种或多种方法。</w:t>
      </w:r>
    </w:p>
    <w:p w14:paraId="166077FF"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第十四条</w:t>
      </w:r>
      <w:r>
        <w:rPr>
          <w:rFonts w:ascii="仿宋_GB2312" w:eastAsia="仿宋_GB2312" w:hint="eastAsia"/>
          <w:bCs/>
          <w:sz w:val="32"/>
          <w:szCs w:val="32"/>
        </w:rPr>
        <w:t xml:space="preserve"> 评价指标是衡量绩效目标实现程度的考核工具，指标设置应当与评价对象紧密相关，设置最具有代表性、最能直接反映产出和效益的核心指标，全面反映项目决策、项目和资金管理、产出和效益；指标内涵应当明确、具体、可衡量，数据及佐证资料应当可采集、可获得。同类项目应当设置共同的评价指标，便于评价结果的相互比较；不同类型项目的评价指标内容侧重点有所不同、指标权重有所区别。包括业务评价指标和财务评价指标。</w:t>
      </w:r>
    </w:p>
    <w:p w14:paraId="0DE81E86"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bCs/>
          <w:sz w:val="32"/>
          <w:szCs w:val="32"/>
        </w:rPr>
      </w:pPr>
      <w:r>
        <w:rPr>
          <w:rFonts w:ascii="楷体" w:eastAsia="楷体" w:hAnsi="楷体" w:cs="楷体" w:hint="eastAsia"/>
          <w:bCs/>
          <w:sz w:val="32"/>
          <w:szCs w:val="32"/>
        </w:rPr>
        <w:lastRenderedPageBreak/>
        <w:t>（一）业务评价指标。</w:t>
      </w:r>
      <w:r>
        <w:rPr>
          <w:rFonts w:ascii="仿宋_GB2312" w:eastAsia="仿宋_GB2312" w:hint="eastAsia"/>
          <w:bCs/>
          <w:sz w:val="32"/>
          <w:szCs w:val="32"/>
        </w:rPr>
        <w:t>主要包括项目立项规范性、绩效目标合理性、绩效指标明确性、管理制度健全性、制度执行有效性、项目产出、项目取得的效益、可持续性影响等。</w:t>
      </w:r>
    </w:p>
    <w:p w14:paraId="1CE7A697"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bCs/>
          <w:sz w:val="32"/>
          <w:szCs w:val="32"/>
        </w:rPr>
      </w:pPr>
      <w:r>
        <w:rPr>
          <w:rFonts w:ascii="楷体" w:eastAsia="楷体" w:hAnsi="楷体" w:cs="楷体" w:hint="eastAsia"/>
          <w:bCs/>
          <w:sz w:val="32"/>
          <w:szCs w:val="32"/>
        </w:rPr>
        <w:t>（二）财务评价指标。</w:t>
      </w:r>
      <w:r>
        <w:rPr>
          <w:rFonts w:ascii="仿宋_GB2312" w:eastAsia="仿宋_GB2312" w:hint="eastAsia"/>
          <w:bCs/>
          <w:sz w:val="32"/>
          <w:szCs w:val="32"/>
        </w:rPr>
        <w:t>主要包括资金落实情况、实际支出情况、资金使用合</w:t>
      </w:r>
      <w:proofErr w:type="gramStart"/>
      <w:r>
        <w:rPr>
          <w:rFonts w:ascii="仿宋_GB2312" w:eastAsia="仿宋_GB2312" w:hint="eastAsia"/>
          <w:bCs/>
          <w:sz w:val="32"/>
          <w:szCs w:val="32"/>
        </w:rPr>
        <w:t>规</w:t>
      </w:r>
      <w:proofErr w:type="gramEnd"/>
      <w:r>
        <w:rPr>
          <w:rFonts w:ascii="仿宋_GB2312" w:eastAsia="仿宋_GB2312" w:hint="eastAsia"/>
          <w:bCs/>
          <w:sz w:val="32"/>
          <w:szCs w:val="32"/>
        </w:rPr>
        <w:t>性、财务监控有效性等。</w:t>
      </w:r>
    </w:p>
    <w:p w14:paraId="7DEEB343" w14:textId="77777777" w:rsidR="00F6576E" w:rsidRDefault="00000000">
      <w:pPr>
        <w:pStyle w:val="aa"/>
        <w:widowControl w:val="0"/>
        <w:shd w:val="clear" w:color="auto" w:fill="FFFFFF"/>
        <w:spacing w:before="0" w:beforeAutospacing="0" w:after="0" w:afterAutospacing="0" w:line="580" w:lineRule="exact"/>
        <w:jc w:val="center"/>
        <w:rPr>
          <w:rStyle w:val="ab"/>
          <w:rFonts w:ascii="黑体" w:eastAsia="黑体" w:hAnsi="黑体" w:cs="方正黑体_GBK" w:hint="eastAsia"/>
          <w:b w:val="0"/>
          <w:spacing w:val="18"/>
          <w:sz w:val="32"/>
          <w:szCs w:val="32"/>
        </w:rPr>
      </w:pPr>
      <w:r>
        <w:rPr>
          <w:rFonts w:ascii="黑体" w:eastAsia="黑体" w:hAnsi="Times New Roman" w:hint="eastAsia"/>
          <w:kern w:val="2"/>
          <w:sz w:val="32"/>
          <w:szCs w:val="32"/>
        </w:rPr>
        <w:t>第四章</w:t>
      </w:r>
      <w:r>
        <w:rPr>
          <w:rStyle w:val="ab"/>
          <w:rFonts w:ascii="黑体" w:eastAsia="黑体" w:hAnsi="黑体" w:cs="方正黑体_GBK"/>
          <w:b w:val="0"/>
          <w:spacing w:val="18"/>
          <w:sz w:val="32"/>
          <w:szCs w:val="32"/>
        </w:rPr>
        <w:t xml:space="preserve">  </w:t>
      </w:r>
      <w:r>
        <w:rPr>
          <w:rFonts w:ascii="黑体" w:eastAsia="黑体" w:hAnsi="Times New Roman" w:hint="eastAsia"/>
          <w:kern w:val="2"/>
          <w:sz w:val="32"/>
          <w:szCs w:val="32"/>
        </w:rPr>
        <w:t>组织实施</w:t>
      </w:r>
    </w:p>
    <w:p w14:paraId="49600B53"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第十五条</w:t>
      </w:r>
      <w:r>
        <w:rPr>
          <w:rFonts w:ascii="仿宋_GB2312" w:eastAsia="仿宋_GB2312"/>
          <w:b/>
          <w:kern w:val="2"/>
          <w:sz w:val="32"/>
          <w:szCs w:val="32"/>
        </w:rPr>
        <w:t xml:space="preserve"> </w:t>
      </w:r>
      <w:r>
        <w:rPr>
          <w:rFonts w:ascii="仿宋_GB2312" w:eastAsia="仿宋_GB2312" w:hint="eastAsia"/>
          <w:kern w:val="2"/>
          <w:sz w:val="32"/>
          <w:szCs w:val="32"/>
        </w:rPr>
        <w:t>管理部门结合重点工作任务，研究制定年度绩效评价工作计划，确定年度绩效评价对象和范围，下达年度绩效评价通知。</w:t>
      </w:r>
    </w:p>
    <w:p w14:paraId="049F3DE8"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第十六条</w:t>
      </w:r>
      <w:r>
        <w:rPr>
          <w:rFonts w:ascii="仿宋_GB2312" w:eastAsia="仿宋_GB2312"/>
          <w:b/>
          <w:kern w:val="2"/>
          <w:sz w:val="32"/>
          <w:szCs w:val="32"/>
        </w:rPr>
        <w:t xml:space="preserve"> </w:t>
      </w:r>
      <w:r>
        <w:rPr>
          <w:rFonts w:ascii="仿宋_GB2312" w:eastAsia="仿宋_GB2312" w:hint="eastAsia"/>
          <w:kern w:val="2"/>
          <w:sz w:val="32"/>
          <w:szCs w:val="32"/>
        </w:rPr>
        <w:t>科技项目绩效评价由管理部门或者委托第三方机构具体开展。主要包括：</w:t>
      </w:r>
    </w:p>
    <w:p w14:paraId="6C169D15"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（一）确定评价任务，明确评价目的、主体、对象和范围；</w:t>
      </w:r>
    </w:p>
    <w:p w14:paraId="3A952A7C"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（二）组织专家或者遴选第三方机构；</w:t>
      </w:r>
    </w:p>
    <w:p w14:paraId="078BBAA1"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（三）制订绩效评价实施方案，确定评价指标体系；</w:t>
      </w:r>
    </w:p>
    <w:p w14:paraId="16837554"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（四）评价对象开展单位自评，形成并提交自评报告；</w:t>
      </w:r>
    </w:p>
    <w:p w14:paraId="4C38CBE4"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（五）实施绩效评价，形成评价报告；</w:t>
      </w:r>
    </w:p>
    <w:p w14:paraId="39F2C265"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（六）审核评价报告，确认评价结果；</w:t>
      </w:r>
    </w:p>
    <w:p w14:paraId="31186AFE"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（七）向归口管理部门及评价对象反馈绩效评价结果，并督促整改落实；</w:t>
      </w:r>
    </w:p>
    <w:p w14:paraId="10CD64FF"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（八）汇交绩效评价工作档案，对工作方案、证据材料、评价报告等重要信息及时记录和归档。</w:t>
      </w:r>
    </w:p>
    <w:p w14:paraId="32A8527E" w14:textId="77777777" w:rsidR="00F6576E" w:rsidRDefault="00000000">
      <w:pPr>
        <w:pStyle w:val="aa"/>
        <w:widowControl w:val="0"/>
        <w:shd w:val="clear" w:color="auto" w:fill="FFFFFF"/>
        <w:spacing w:before="0" w:beforeAutospacing="0" w:after="0" w:afterAutospacing="0" w:line="580" w:lineRule="exact"/>
        <w:jc w:val="center"/>
        <w:rPr>
          <w:rStyle w:val="ab"/>
          <w:rFonts w:ascii="黑体" w:eastAsia="黑体" w:hAnsi="黑体" w:cs="方正黑体_GBK" w:hint="eastAsia"/>
          <w:b w:val="0"/>
          <w:spacing w:val="18"/>
          <w:sz w:val="32"/>
          <w:szCs w:val="32"/>
        </w:rPr>
      </w:pPr>
      <w:r>
        <w:rPr>
          <w:rFonts w:ascii="黑体" w:eastAsia="黑体" w:hAnsi="Times New Roman" w:hint="eastAsia"/>
          <w:kern w:val="2"/>
          <w:sz w:val="32"/>
          <w:szCs w:val="32"/>
        </w:rPr>
        <w:t>第五章</w:t>
      </w:r>
      <w:r>
        <w:rPr>
          <w:rStyle w:val="ab"/>
          <w:rFonts w:ascii="黑体" w:eastAsia="黑体" w:hAnsi="黑体" w:cs="方正黑体_GBK"/>
          <w:b w:val="0"/>
          <w:spacing w:val="18"/>
          <w:sz w:val="32"/>
          <w:szCs w:val="32"/>
        </w:rPr>
        <w:t xml:space="preserve">  </w:t>
      </w:r>
      <w:r>
        <w:rPr>
          <w:rFonts w:ascii="黑体" w:eastAsia="黑体" w:hAnsi="Times New Roman" w:hint="eastAsia"/>
          <w:kern w:val="2"/>
          <w:sz w:val="32"/>
          <w:szCs w:val="32"/>
        </w:rPr>
        <w:t>结果运用</w:t>
      </w:r>
    </w:p>
    <w:p w14:paraId="7E718D07"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int="eastAsia"/>
          <w:b/>
          <w:sz w:val="32"/>
          <w:szCs w:val="32"/>
        </w:rPr>
        <w:t>第十七条</w:t>
      </w:r>
      <w:r>
        <w:rPr>
          <w:rFonts w:ascii="仿宋_GB2312" w:eastAsia="仿宋_GB2312"/>
          <w:b/>
          <w:sz w:val="32"/>
          <w:szCs w:val="32"/>
        </w:rPr>
        <w:t xml:space="preserve"> </w:t>
      </w:r>
      <w:r>
        <w:rPr>
          <w:rFonts w:ascii="仿宋_GB2312" w:eastAsia="仿宋_GB2312" w:hAnsi="宋体" w:cs="宋体" w:hint="eastAsia"/>
          <w:sz w:val="32"/>
          <w:szCs w:val="32"/>
        </w:rPr>
        <w:t>绩效评价结果作为项目调整、后续资金支持的重</w:t>
      </w:r>
      <w:r>
        <w:rPr>
          <w:rFonts w:ascii="仿宋_GB2312" w:eastAsia="仿宋_GB2312" w:hAnsi="宋体" w:cs="宋体" w:hint="eastAsia"/>
          <w:sz w:val="32"/>
          <w:szCs w:val="32"/>
        </w:rPr>
        <w:lastRenderedPageBreak/>
        <w:t>要依据，与市财政局及有关部门间互享，其中：事前绩效评价结果应作为项目是否立项的重要依据；阶段绩效评价结果应作为项目分期资金拨付、经费调整和启动终止程序的重要依据；</w:t>
      </w:r>
      <w:bookmarkStart w:id="1" w:name="_Hlk184922739"/>
      <w:r>
        <w:rPr>
          <w:rFonts w:ascii="仿宋_GB2312" w:eastAsia="仿宋_GB2312" w:hAnsi="宋体" w:cs="宋体" w:hint="eastAsia"/>
          <w:sz w:val="32"/>
          <w:szCs w:val="32"/>
        </w:rPr>
        <w:t>综合绩效评价结果</w:t>
      </w:r>
      <w:bookmarkEnd w:id="1"/>
      <w:r>
        <w:rPr>
          <w:rFonts w:ascii="仿宋_GB2312" w:eastAsia="仿宋_GB2312" w:hAnsi="宋体" w:cs="宋体" w:hint="eastAsia"/>
          <w:sz w:val="32"/>
          <w:szCs w:val="32"/>
        </w:rPr>
        <w:t>应作为项目承担单位和项目负责人后续年度立项和资金支持的重要依据。</w:t>
      </w:r>
    </w:p>
    <w:p w14:paraId="653C3CE7"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int="eastAsia"/>
          <w:b/>
          <w:sz w:val="32"/>
          <w:szCs w:val="32"/>
        </w:rPr>
        <w:t xml:space="preserve">第十八条 </w:t>
      </w:r>
      <w:r>
        <w:rPr>
          <w:rFonts w:ascii="仿宋_GB2312" w:eastAsia="仿宋_GB2312" w:hAnsi="宋体" w:cs="宋体" w:hint="eastAsia"/>
          <w:sz w:val="32"/>
          <w:szCs w:val="32"/>
        </w:rPr>
        <w:t>绩效评价结果按有关规定纳入科研诚信管理。</w:t>
      </w:r>
    </w:p>
    <w:p w14:paraId="52F95165"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int="eastAsia"/>
          <w:b/>
          <w:sz w:val="32"/>
          <w:szCs w:val="32"/>
        </w:rPr>
        <w:t xml:space="preserve">第十九条 </w:t>
      </w:r>
      <w:r>
        <w:rPr>
          <w:rFonts w:ascii="仿宋_GB2312" w:eastAsia="仿宋_GB2312" w:hAnsi="宋体" w:cs="宋体" w:hint="eastAsia"/>
          <w:sz w:val="32"/>
          <w:szCs w:val="32"/>
        </w:rPr>
        <w:t>绩效评价结果采取评分和评级相结合的方式，按百分制分级分类管理。总分设置为100分，等级一般划分为四档：90（含）—100分为优、80（含）—90分为良、60（含）—80分为一般、60分以下为差。</w:t>
      </w:r>
    </w:p>
    <w:p w14:paraId="41B4639C"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int="eastAsia"/>
          <w:b/>
          <w:sz w:val="32"/>
          <w:szCs w:val="32"/>
        </w:rPr>
        <w:t xml:space="preserve">第二十条 </w:t>
      </w:r>
      <w:r>
        <w:rPr>
          <w:rFonts w:ascii="仿宋_GB2312" w:eastAsia="仿宋_GB2312" w:hAnsi="宋体" w:cs="宋体" w:hint="eastAsia"/>
          <w:sz w:val="32"/>
          <w:szCs w:val="32"/>
        </w:rPr>
        <w:t>在科技项目执行和资金管理使用中，被相关部门巡视巡察、审计、专项检查、财政督查等发现存在严重违纪违规问题的，该项目绩效评价</w:t>
      </w:r>
      <w:proofErr w:type="gramStart"/>
      <w:r>
        <w:rPr>
          <w:rFonts w:ascii="仿宋_GB2312" w:eastAsia="仿宋_GB2312" w:hAnsi="宋体" w:cs="宋体" w:hint="eastAsia"/>
          <w:sz w:val="32"/>
          <w:szCs w:val="32"/>
        </w:rPr>
        <w:t>结果按差处理</w:t>
      </w:r>
      <w:proofErr w:type="gramEnd"/>
      <w:r>
        <w:rPr>
          <w:rFonts w:ascii="仿宋_GB2312" w:eastAsia="仿宋_GB2312" w:hAnsi="宋体" w:cs="宋体" w:hint="eastAsia"/>
          <w:sz w:val="32"/>
          <w:szCs w:val="32"/>
        </w:rPr>
        <w:t>。项目承担单位拒绝评价的，评价结果为差。</w:t>
      </w:r>
    </w:p>
    <w:p w14:paraId="405E424C"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int="eastAsia"/>
          <w:b/>
          <w:sz w:val="32"/>
          <w:szCs w:val="32"/>
        </w:rPr>
        <w:t xml:space="preserve">第二十一条 </w:t>
      </w:r>
      <w:r>
        <w:rPr>
          <w:rFonts w:ascii="仿宋_GB2312" w:eastAsia="仿宋_GB2312" w:hAnsi="宋体" w:cs="宋体" w:hint="eastAsia"/>
          <w:sz w:val="32"/>
          <w:szCs w:val="32"/>
        </w:rPr>
        <w:t>管理部门及时</w:t>
      </w:r>
      <w:proofErr w:type="gramStart"/>
      <w:r>
        <w:rPr>
          <w:rFonts w:ascii="仿宋_GB2312" w:eastAsia="仿宋_GB2312" w:hAnsi="宋体" w:cs="宋体" w:hint="eastAsia"/>
          <w:sz w:val="32"/>
          <w:szCs w:val="32"/>
        </w:rPr>
        <w:t>将阶段</w:t>
      </w:r>
      <w:proofErr w:type="gramEnd"/>
      <w:r>
        <w:rPr>
          <w:rFonts w:ascii="仿宋_GB2312" w:eastAsia="仿宋_GB2312" w:hAnsi="宋体" w:cs="宋体" w:hint="eastAsia"/>
          <w:sz w:val="32"/>
          <w:szCs w:val="32"/>
        </w:rPr>
        <w:t>绩效评价结果反馈归口管理部门和评价对象，评价对象应当认真研究分析评价意见、建议和相关整改要求，按照规定提交整改意见，并改进完善相关管理和实施工作。管理部门将跟踪评价对象对评价结果的整改情况，并将其作为后续评价的重要内容。</w:t>
      </w:r>
    </w:p>
    <w:p w14:paraId="7B22234A" w14:textId="77777777" w:rsidR="00F6576E" w:rsidRDefault="00000000">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（一）等级为优和良的项目，项目承担单位和项目负责人承担的市本级科技项目不纳入下一年度评价范围。</w:t>
      </w:r>
    </w:p>
    <w:p w14:paraId="67B0CB3C" w14:textId="77777777" w:rsidR="00F6576E" w:rsidRDefault="00000000">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（二）等级为一般和差的项目，归口管理部门督促评价对象说明原因，提出整改措施，并责令限期整改，整改期限一般不超</w:t>
      </w:r>
      <w:r>
        <w:rPr>
          <w:rFonts w:ascii="仿宋_GB2312" w:eastAsia="仿宋_GB2312" w:hAnsi="宋体" w:cs="宋体" w:hint="eastAsia"/>
          <w:sz w:val="32"/>
          <w:szCs w:val="32"/>
        </w:rPr>
        <w:lastRenderedPageBreak/>
        <w:t>过90天。整改期内，对评价对象申请的项目、成果、结题验收等科技活动暂缓受理，暂停拨付后续经费。对拒不整改或整改后仍不符合要求的，按照相关项目、资金管理办法处理。项目承担单位及负责人承担的市本级在</w:t>
      </w:r>
      <w:proofErr w:type="gramStart"/>
      <w:r>
        <w:rPr>
          <w:rFonts w:ascii="仿宋_GB2312" w:eastAsia="仿宋_GB2312" w:hAnsi="宋体" w:cs="宋体" w:hint="eastAsia"/>
          <w:sz w:val="32"/>
          <w:szCs w:val="32"/>
        </w:rPr>
        <w:t>研</w:t>
      </w:r>
      <w:proofErr w:type="gramEnd"/>
      <w:r>
        <w:rPr>
          <w:rFonts w:ascii="仿宋_GB2312" w:eastAsia="仿宋_GB2312" w:hAnsi="宋体" w:cs="宋体" w:hint="eastAsia"/>
          <w:sz w:val="32"/>
          <w:szCs w:val="32"/>
        </w:rPr>
        <w:t>项目全部纳入下一年度评价范围。</w:t>
      </w:r>
    </w:p>
    <w:p w14:paraId="0471B8A8" w14:textId="77777777" w:rsidR="00F6576E" w:rsidRDefault="00000000">
      <w:pPr>
        <w:spacing w:line="580" w:lineRule="exact"/>
        <w:jc w:val="center"/>
        <w:rPr>
          <w:rStyle w:val="ab"/>
          <w:rFonts w:ascii="黑体" w:eastAsia="黑体" w:hAnsi="黑体" w:cs="方正黑体_GBK" w:hint="eastAsia"/>
          <w:b w:val="0"/>
          <w:spacing w:val="18"/>
          <w:kern w:val="0"/>
          <w:sz w:val="32"/>
          <w:szCs w:val="32"/>
        </w:rPr>
      </w:pPr>
      <w:r>
        <w:rPr>
          <w:rFonts w:ascii="黑体" w:eastAsia="黑体" w:hAnsi="黑体" w:cs="宋体" w:hint="eastAsia"/>
          <w:sz w:val="32"/>
          <w:szCs w:val="32"/>
        </w:rPr>
        <w:t>第六章</w:t>
      </w:r>
      <w:r>
        <w:rPr>
          <w:rStyle w:val="ab"/>
          <w:rFonts w:ascii="黑体" w:eastAsia="黑体" w:hAnsi="黑体" w:cs="方正黑体_GBK"/>
          <w:b w:val="0"/>
          <w:spacing w:val="18"/>
          <w:kern w:val="0"/>
          <w:sz w:val="32"/>
          <w:szCs w:val="32"/>
        </w:rPr>
        <w:t xml:space="preserve">  </w:t>
      </w:r>
      <w:r>
        <w:rPr>
          <w:rFonts w:ascii="黑体" w:eastAsia="黑体" w:hAnsi="Times New Roman" w:cs="宋体" w:hint="eastAsia"/>
          <w:sz w:val="32"/>
          <w:szCs w:val="32"/>
        </w:rPr>
        <w:t>保障与监督</w:t>
      </w:r>
    </w:p>
    <w:p w14:paraId="19C5C22D"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第二十二条</w:t>
      </w:r>
      <w:r>
        <w:rPr>
          <w:rFonts w:ascii="仿宋_GB2312" w:eastAsia="仿宋_GB2312"/>
          <w:b/>
          <w:kern w:val="2"/>
          <w:sz w:val="32"/>
          <w:szCs w:val="32"/>
        </w:rPr>
        <w:t xml:space="preserve"> </w:t>
      </w:r>
      <w:r>
        <w:rPr>
          <w:rFonts w:ascii="仿宋_GB2312" w:eastAsia="仿宋_GB2312" w:hint="eastAsia"/>
          <w:kern w:val="2"/>
          <w:sz w:val="32"/>
          <w:szCs w:val="32"/>
        </w:rPr>
        <w:t>科技项目绩效评价工作应当严格遵守国家相关法律、法规和相关规定，保证绩效评价的公正性、客观性和权威性。</w:t>
      </w:r>
    </w:p>
    <w:p w14:paraId="52B6F437"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（一）承担绩效评价的机构应当遵守相关法律法规和行业规范，加强能力和条件建设，健全内部管理制度，规范评价工作业务流程。</w:t>
      </w:r>
    </w:p>
    <w:p w14:paraId="4FC3C0D7"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（二）评价专家应当熟悉相关技术领域和行业发展状况，满足评价任务需求，恪守职业道德，独立、客观、公正开展评价工作。</w:t>
      </w:r>
    </w:p>
    <w:p w14:paraId="23C9D04C" w14:textId="77777777" w:rsidR="00F6576E" w:rsidRDefault="00000000">
      <w:pPr>
        <w:pStyle w:val="aa"/>
        <w:widowControl w:val="0"/>
        <w:shd w:val="clear" w:color="auto" w:fill="FFFFFF"/>
        <w:spacing w:before="0" w:beforeAutospacing="0" w:after="0" w:afterAutospacing="0" w:line="58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（三）归口管理部门和评价对象，应当积极配合开展评价工作，及时提供真实、完整和有效的评价信息，不得以任何方式、任何理由干预评价工作。</w:t>
      </w:r>
    </w:p>
    <w:p w14:paraId="1048C56F"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第二十三条</w:t>
      </w:r>
      <w:r>
        <w:rPr>
          <w:rFonts w:ascii="仿宋_GB2312" w:eastAsia="仿宋_GB2312" w:hint="eastAsia"/>
          <w:kern w:val="2"/>
          <w:sz w:val="32"/>
          <w:szCs w:val="32"/>
        </w:rPr>
        <w:t xml:space="preserve"> 本办法所涉及的单位和个人应当遵守保密、回避等工作规定，不得利用评价工作谋取不当利益。</w:t>
      </w:r>
    </w:p>
    <w:p w14:paraId="52CAF449" w14:textId="77777777" w:rsidR="00F6576E" w:rsidRDefault="00000000">
      <w:pPr>
        <w:pStyle w:val="aa"/>
        <w:widowControl w:val="0"/>
        <w:shd w:val="clear" w:color="auto" w:fill="FFFFFF"/>
        <w:spacing w:before="0" w:beforeAutospacing="0" w:after="0" w:afterAutospacing="0" w:line="580" w:lineRule="exact"/>
        <w:ind w:firstLineChars="200" w:firstLine="643"/>
        <w:jc w:val="both"/>
        <w:rPr>
          <w:rFonts w:ascii="仿宋_GB2312" w:eastAsia="仿宋_GB2312" w:hint="eastAsia"/>
          <w:kern w:val="2"/>
          <w:sz w:val="32"/>
          <w:szCs w:val="32"/>
        </w:rPr>
      </w:pPr>
      <w:r>
        <w:rPr>
          <w:rFonts w:ascii="仿宋_GB2312" w:eastAsia="仿宋_GB2312" w:hint="eastAsia"/>
          <w:b/>
          <w:kern w:val="2"/>
          <w:sz w:val="32"/>
          <w:szCs w:val="32"/>
        </w:rPr>
        <w:t xml:space="preserve">第二十四条 </w:t>
      </w:r>
      <w:r>
        <w:rPr>
          <w:rFonts w:ascii="仿宋_GB2312" w:eastAsia="仿宋_GB2312" w:hint="eastAsia"/>
          <w:kern w:val="2"/>
          <w:sz w:val="32"/>
          <w:szCs w:val="32"/>
        </w:rPr>
        <w:t>因不可抗力因素导致难以实现预定绩效目标的，经认定符合《内蒙古自治区科技创新容错免责事项清单（试行）》</w:t>
      </w:r>
      <w:r>
        <w:rPr>
          <w:rFonts w:ascii="仿宋_GB2312" w:eastAsia="仿宋_GB2312" w:hint="eastAsia"/>
          <w:sz w:val="32"/>
          <w:szCs w:val="32"/>
        </w:rPr>
        <w:t>（内科政〔2024〕42号）</w:t>
      </w:r>
      <w:r>
        <w:rPr>
          <w:rFonts w:ascii="仿宋_GB2312" w:eastAsia="仿宋_GB2312" w:hint="eastAsia"/>
          <w:kern w:val="2"/>
          <w:sz w:val="32"/>
          <w:szCs w:val="32"/>
        </w:rPr>
        <w:t>所列情形的，可予以容错免责。</w:t>
      </w:r>
    </w:p>
    <w:p w14:paraId="4F0A80DE" w14:textId="77777777" w:rsidR="00F6576E" w:rsidRDefault="00000000">
      <w:pPr>
        <w:spacing w:line="580" w:lineRule="exact"/>
        <w:jc w:val="center"/>
        <w:rPr>
          <w:rStyle w:val="ab"/>
          <w:rFonts w:ascii="黑体" w:eastAsia="黑体" w:hAnsi="黑体" w:cs="方正黑体_GBK" w:hint="eastAsia"/>
          <w:b w:val="0"/>
          <w:spacing w:val="18"/>
          <w:kern w:val="0"/>
          <w:sz w:val="32"/>
          <w:szCs w:val="32"/>
        </w:rPr>
      </w:pPr>
      <w:r>
        <w:rPr>
          <w:rFonts w:ascii="黑体" w:eastAsia="黑体" w:hAnsi="Times New Roman" w:cs="宋体" w:hint="eastAsia"/>
          <w:sz w:val="32"/>
          <w:szCs w:val="32"/>
        </w:rPr>
        <w:lastRenderedPageBreak/>
        <w:t>第七章</w:t>
      </w:r>
      <w:r>
        <w:rPr>
          <w:rStyle w:val="ab"/>
          <w:rFonts w:ascii="黑体" w:eastAsia="黑体" w:hAnsi="黑体" w:cs="方正黑体_GBK"/>
          <w:b w:val="0"/>
          <w:spacing w:val="18"/>
          <w:kern w:val="0"/>
          <w:sz w:val="32"/>
          <w:szCs w:val="32"/>
        </w:rPr>
        <w:t xml:space="preserve">  </w:t>
      </w:r>
      <w:r>
        <w:rPr>
          <w:rStyle w:val="ab"/>
          <w:rFonts w:ascii="黑体" w:eastAsia="黑体" w:hAnsi="黑体" w:cs="方正黑体_GBK" w:hint="eastAsia"/>
          <w:b w:val="0"/>
          <w:spacing w:val="18"/>
          <w:kern w:val="0"/>
          <w:sz w:val="32"/>
          <w:szCs w:val="32"/>
        </w:rPr>
        <w:t>附</w:t>
      </w:r>
      <w:r>
        <w:rPr>
          <w:rStyle w:val="ab"/>
          <w:rFonts w:ascii="黑体" w:eastAsia="黑体" w:hAnsi="黑体" w:cs="方正黑体_GBK"/>
          <w:b w:val="0"/>
          <w:spacing w:val="18"/>
          <w:kern w:val="0"/>
          <w:sz w:val="32"/>
          <w:szCs w:val="32"/>
        </w:rPr>
        <w:t xml:space="preserve"> </w:t>
      </w:r>
      <w:r>
        <w:rPr>
          <w:rStyle w:val="ab"/>
          <w:rFonts w:ascii="黑体" w:eastAsia="黑体" w:hAnsi="黑体" w:cs="方正黑体_GBK" w:hint="eastAsia"/>
          <w:b w:val="0"/>
          <w:spacing w:val="18"/>
          <w:kern w:val="0"/>
          <w:sz w:val="32"/>
          <w:szCs w:val="32"/>
        </w:rPr>
        <w:t>则</w:t>
      </w:r>
    </w:p>
    <w:p w14:paraId="60FE9126" w14:textId="77777777" w:rsidR="00F6576E" w:rsidRDefault="00000000">
      <w:pPr>
        <w:spacing w:line="580" w:lineRule="exact"/>
        <w:ind w:firstLineChars="200" w:firstLine="643"/>
        <w:rPr>
          <w:rFonts w:ascii="仿宋_GB2312" w:eastAsia="仿宋_GB2312" w:hAnsi="宋体" w:cs="宋体" w:hint="eastAsia"/>
          <w:sz w:val="32"/>
          <w:szCs w:val="32"/>
        </w:rPr>
      </w:pPr>
      <w:r>
        <w:rPr>
          <w:rFonts w:ascii="仿宋_GB2312" w:eastAsia="仿宋_GB2312" w:hAnsi="宋体" w:cs="宋体" w:hint="eastAsia"/>
          <w:b/>
          <w:sz w:val="32"/>
          <w:szCs w:val="32"/>
        </w:rPr>
        <w:t>第二十五条</w:t>
      </w:r>
      <w:r>
        <w:rPr>
          <w:rFonts w:ascii="仿宋_GB2312" w:eastAsia="仿宋_GB2312" w:hAnsi="宋体" w:cs="宋体"/>
          <w:b/>
          <w:sz w:val="32"/>
          <w:szCs w:val="32"/>
        </w:rPr>
        <w:t xml:space="preserve"> </w:t>
      </w:r>
      <w:r>
        <w:rPr>
          <w:rFonts w:ascii="仿宋_GB2312" w:eastAsia="仿宋_GB2312" w:hAnsi="宋体" w:cs="宋体" w:hint="eastAsia"/>
          <w:sz w:val="32"/>
          <w:szCs w:val="32"/>
        </w:rPr>
        <w:t>本办法由市科技局、市财政局负责解释。</w:t>
      </w:r>
    </w:p>
    <w:p w14:paraId="21134A1B" w14:textId="01CC8A80" w:rsidR="00F6576E" w:rsidRDefault="00000000">
      <w:pPr>
        <w:spacing w:line="580" w:lineRule="exact"/>
        <w:ind w:firstLineChars="200" w:firstLine="643"/>
        <w:rPr>
          <w:rFonts w:ascii="黑体" w:eastAsia="黑体" w:hAnsi="黑体" w:hint="eastAsia"/>
          <w:sz w:val="32"/>
          <w:szCs w:val="32"/>
        </w:rPr>
      </w:pPr>
      <w:r>
        <w:rPr>
          <w:rFonts w:ascii="仿宋_GB2312" w:eastAsia="仿宋_GB2312" w:hAnsi="宋体" w:cs="宋体" w:hint="eastAsia"/>
          <w:b/>
          <w:sz w:val="32"/>
          <w:szCs w:val="32"/>
        </w:rPr>
        <w:t>第二十六条</w:t>
      </w:r>
      <w:r>
        <w:rPr>
          <w:rFonts w:ascii="仿宋_GB2312" w:eastAsia="仿宋_GB2312" w:hAnsi="宋体" w:cs="宋体" w:hint="eastAsia"/>
          <w:sz w:val="32"/>
          <w:szCs w:val="32"/>
        </w:rPr>
        <w:t xml:space="preserve"> 本办法自印发之日起</w:t>
      </w:r>
      <w:r w:rsidR="00340AC0" w:rsidRPr="00340AC0">
        <w:rPr>
          <w:rFonts w:ascii="仿宋_GB2312" w:eastAsia="仿宋_GB2312" w:hAnsi="宋体" w:cs="宋体" w:hint="eastAsia"/>
          <w:sz w:val="32"/>
          <w:szCs w:val="32"/>
        </w:rPr>
        <w:t>施行</w:t>
      </w:r>
      <w:r>
        <w:rPr>
          <w:rFonts w:ascii="仿宋_GB2312" w:eastAsia="仿宋_GB2312" w:hAnsi="宋体" w:cs="宋体" w:hint="eastAsia"/>
          <w:sz w:val="32"/>
          <w:szCs w:val="32"/>
        </w:rPr>
        <w:t>。《呼和浩特市财政科技项目绩效评价管理办法》（</w:t>
      </w:r>
      <w:proofErr w:type="gramStart"/>
      <w:r>
        <w:rPr>
          <w:rFonts w:ascii="仿宋_GB2312" w:eastAsia="仿宋_GB2312" w:hAnsi="宋体" w:cs="宋体" w:hint="eastAsia"/>
          <w:sz w:val="32"/>
          <w:szCs w:val="32"/>
        </w:rPr>
        <w:t>呼科字</w:t>
      </w:r>
      <w:proofErr w:type="gramEnd"/>
      <w:r>
        <w:rPr>
          <w:rFonts w:ascii="仿宋_GB2312" w:eastAsia="仿宋_GB2312" w:hAnsi="宋体" w:cs="宋体" w:hint="eastAsia"/>
          <w:sz w:val="32"/>
          <w:szCs w:val="32"/>
        </w:rPr>
        <w:t>〔2019〕32号）同时废止。</w:t>
      </w:r>
    </w:p>
    <w:bookmarkEnd w:id="0"/>
    <w:p w14:paraId="7C0EA57A" w14:textId="77777777" w:rsidR="00F6576E" w:rsidRDefault="00F6576E">
      <w:pPr>
        <w:widowControl/>
        <w:snapToGrid w:val="0"/>
        <w:spacing w:line="600" w:lineRule="exact"/>
        <w:rPr>
          <w:rFonts w:ascii="仿宋_GB2312" w:eastAsia="仿宋_GB2312"/>
          <w:sz w:val="32"/>
          <w:szCs w:val="32"/>
        </w:rPr>
      </w:pPr>
    </w:p>
    <w:sectPr w:rsidR="00F6576E" w:rsidSect="00340AC0">
      <w:headerReference w:type="even" r:id="rId7"/>
      <w:headerReference w:type="default" r:id="rId8"/>
      <w:footerReference w:type="even" r:id="rId9"/>
      <w:footerReference w:type="default" r:id="rId10"/>
      <w:pgSz w:w="11906" w:h="16838"/>
      <w:pgMar w:top="1418" w:right="1474" w:bottom="1418"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1AC5" w14:textId="77777777" w:rsidR="005B5D80" w:rsidRDefault="005B5D80">
      <w:r>
        <w:separator/>
      </w:r>
    </w:p>
  </w:endnote>
  <w:endnote w:type="continuationSeparator" w:id="0">
    <w:p w14:paraId="4795CDAC" w14:textId="77777777" w:rsidR="005B5D80" w:rsidRDefault="005B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C177" w14:textId="77777777" w:rsidR="00F6576E" w:rsidRDefault="00000000">
    <w:pPr>
      <w:pStyle w:val="a6"/>
      <w:ind w:right="360" w:firstLine="360"/>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14:anchorId="0E241668" wp14:editId="197C59C4">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7D2F1" w14:textId="77777777" w:rsidR="00F6576E" w:rsidRDefault="00000000">
                          <w:pPr>
                            <w:pStyle w:val="a6"/>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0E241668" id="_x0000_t202" coordsize="21600,21600" o:spt="202" path="m,l,21600r21600,l21600,xe">
              <v:stroke joinstyle="miter"/>
              <v:path gradientshapeok="t" o:connecttype="rect"/>
            </v:shapetype>
            <v:shape id="文本框 1026"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547D2F1" w14:textId="77777777" w:rsidR="00F6576E" w:rsidRDefault="00000000">
                    <w:pPr>
                      <w:pStyle w:val="a6"/>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73C4B597" w14:textId="77777777" w:rsidR="00F6576E" w:rsidRDefault="00F657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F9F5" w14:textId="77777777" w:rsidR="00F6576E" w:rsidRDefault="00000000">
    <w:pPr>
      <w:pStyle w:val="a6"/>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14:anchorId="528C80B4" wp14:editId="733264AF">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D91F8" w14:textId="77777777" w:rsidR="00F6576E" w:rsidRDefault="00000000">
                          <w:pPr>
                            <w:pStyle w:val="a6"/>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528C80B4" id="_x0000_t202" coordsize="21600,21600" o:spt="202" path="m,l,21600r21600,l21600,xe">
              <v:stroke joinstyle="miter"/>
              <v:path gradientshapeok="t" o:connecttype="rect"/>
            </v:shapetype>
            <v:shape id="文本框 1025"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F4D91F8" w14:textId="77777777" w:rsidR="00F6576E" w:rsidRDefault="00000000">
                    <w:pPr>
                      <w:pStyle w:val="a6"/>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05E10ADE" w14:textId="77777777" w:rsidR="00F6576E" w:rsidRDefault="00F657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B0DC" w14:textId="77777777" w:rsidR="005B5D80" w:rsidRDefault="005B5D80">
      <w:r>
        <w:separator/>
      </w:r>
    </w:p>
  </w:footnote>
  <w:footnote w:type="continuationSeparator" w:id="0">
    <w:p w14:paraId="1EEE12C4" w14:textId="77777777" w:rsidR="005B5D80" w:rsidRDefault="005B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3B1F" w14:textId="77777777" w:rsidR="00F6576E" w:rsidRDefault="00F6576E">
    <w:pPr>
      <w:pStyle w:val="a8"/>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61F0" w14:textId="77777777" w:rsidR="00F6576E" w:rsidRDefault="00F6576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B16"/>
    <w:rsid w:val="97BF8103"/>
    <w:rsid w:val="AB5DB9B8"/>
    <w:rsid w:val="ADE39214"/>
    <w:rsid w:val="ADFED922"/>
    <w:rsid w:val="AF7E43C8"/>
    <w:rsid w:val="AFFB8036"/>
    <w:rsid w:val="AFFF57B3"/>
    <w:rsid w:val="AFFFEBD9"/>
    <w:rsid w:val="B7066D6D"/>
    <w:rsid w:val="BD75ED96"/>
    <w:rsid w:val="BDFFFE79"/>
    <w:rsid w:val="BFE7AE22"/>
    <w:rsid w:val="BFF79B08"/>
    <w:rsid w:val="BFFBE211"/>
    <w:rsid w:val="BFFF92FD"/>
    <w:rsid w:val="BFFF97A0"/>
    <w:rsid w:val="C57F4115"/>
    <w:rsid w:val="D337A7E9"/>
    <w:rsid w:val="D3966E4D"/>
    <w:rsid w:val="D9361FC3"/>
    <w:rsid w:val="DBEF4DC9"/>
    <w:rsid w:val="DD087094"/>
    <w:rsid w:val="DDBA155B"/>
    <w:rsid w:val="DDFE2305"/>
    <w:rsid w:val="DEF91E13"/>
    <w:rsid w:val="DFAF89F3"/>
    <w:rsid w:val="DFED8CB3"/>
    <w:rsid w:val="DFFF91E7"/>
    <w:rsid w:val="E18EF058"/>
    <w:rsid w:val="E7B87479"/>
    <w:rsid w:val="E7E73950"/>
    <w:rsid w:val="E7F49A98"/>
    <w:rsid w:val="E7FD2567"/>
    <w:rsid w:val="EAF66BD3"/>
    <w:rsid w:val="EB77BF26"/>
    <w:rsid w:val="EBBF2982"/>
    <w:rsid w:val="EDF96013"/>
    <w:rsid w:val="EEBFAEB6"/>
    <w:rsid w:val="EF6FDF4F"/>
    <w:rsid w:val="EFF9FC81"/>
    <w:rsid w:val="EFFF4EDB"/>
    <w:rsid w:val="F4ED7BC5"/>
    <w:rsid w:val="F53F65FE"/>
    <w:rsid w:val="F5FB4F4B"/>
    <w:rsid w:val="F667B6EB"/>
    <w:rsid w:val="FAFBDB23"/>
    <w:rsid w:val="FB38280A"/>
    <w:rsid w:val="FBAFAA5A"/>
    <w:rsid w:val="FBDD7E50"/>
    <w:rsid w:val="FBF6BAB5"/>
    <w:rsid w:val="FCFA8F57"/>
    <w:rsid w:val="FDFBE07D"/>
    <w:rsid w:val="FE3FEDF7"/>
    <w:rsid w:val="FE7F8311"/>
    <w:rsid w:val="FEBF995D"/>
    <w:rsid w:val="FEBFEF46"/>
    <w:rsid w:val="FEED51D2"/>
    <w:rsid w:val="FEEEEEA8"/>
    <w:rsid w:val="FF19B674"/>
    <w:rsid w:val="FF57FA67"/>
    <w:rsid w:val="FF7909E0"/>
    <w:rsid w:val="FF9E65C1"/>
    <w:rsid w:val="FFBF9C07"/>
    <w:rsid w:val="FFD277EA"/>
    <w:rsid w:val="FFF3BF41"/>
    <w:rsid w:val="FFF778D1"/>
    <w:rsid w:val="FFFD87C8"/>
    <w:rsid w:val="FFFF50E4"/>
    <w:rsid w:val="00002D1C"/>
    <w:rsid w:val="000043B1"/>
    <w:rsid w:val="00007750"/>
    <w:rsid w:val="00012F37"/>
    <w:rsid w:val="00014749"/>
    <w:rsid w:val="00026327"/>
    <w:rsid w:val="00030D8A"/>
    <w:rsid w:val="0003151D"/>
    <w:rsid w:val="0003701E"/>
    <w:rsid w:val="00040BEF"/>
    <w:rsid w:val="00047620"/>
    <w:rsid w:val="000622E5"/>
    <w:rsid w:val="00063E96"/>
    <w:rsid w:val="000677FB"/>
    <w:rsid w:val="00070966"/>
    <w:rsid w:val="00074687"/>
    <w:rsid w:val="000753E0"/>
    <w:rsid w:val="00075E8B"/>
    <w:rsid w:val="00077016"/>
    <w:rsid w:val="00080122"/>
    <w:rsid w:val="00083A8B"/>
    <w:rsid w:val="00084AF0"/>
    <w:rsid w:val="00085214"/>
    <w:rsid w:val="0008524D"/>
    <w:rsid w:val="00086F0D"/>
    <w:rsid w:val="00087320"/>
    <w:rsid w:val="00092161"/>
    <w:rsid w:val="000929D5"/>
    <w:rsid w:val="000933C0"/>
    <w:rsid w:val="00095960"/>
    <w:rsid w:val="000A1CFB"/>
    <w:rsid w:val="000A5A81"/>
    <w:rsid w:val="000A79BE"/>
    <w:rsid w:val="000B542C"/>
    <w:rsid w:val="000B57F4"/>
    <w:rsid w:val="000C26D4"/>
    <w:rsid w:val="000C309D"/>
    <w:rsid w:val="000C57DF"/>
    <w:rsid w:val="000C6687"/>
    <w:rsid w:val="000C6F4E"/>
    <w:rsid w:val="000D5DA2"/>
    <w:rsid w:val="000E1AA0"/>
    <w:rsid w:val="000E2C09"/>
    <w:rsid w:val="000E4609"/>
    <w:rsid w:val="000E62BA"/>
    <w:rsid w:val="000F5371"/>
    <w:rsid w:val="00115662"/>
    <w:rsid w:val="001336AE"/>
    <w:rsid w:val="00133AEC"/>
    <w:rsid w:val="001471F9"/>
    <w:rsid w:val="00151E8A"/>
    <w:rsid w:val="0016167C"/>
    <w:rsid w:val="00164FBF"/>
    <w:rsid w:val="00174AF8"/>
    <w:rsid w:val="001760EE"/>
    <w:rsid w:val="001809EC"/>
    <w:rsid w:val="001865F7"/>
    <w:rsid w:val="00187CD9"/>
    <w:rsid w:val="0019531A"/>
    <w:rsid w:val="00195C65"/>
    <w:rsid w:val="00196E65"/>
    <w:rsid w:val="001975EF"/>
    <w:rsid w:val="001A5694"/>
    <w:rsid w:val="001A749E"/>
    <w:rsid w:val="001C2087"/>
    <w:rsid w:val="001C65DB"/>
    <w:rsid w:val="001D52EF"/>
    <w:rsid w:val="001E1408"/>
    <w:rsid w:val="001E1661"/>
    <w:rsid w:val="00202E8B"/>
    <w:rsid w:val="00204ED9"/>
    <w:rsid w:val="00216514"/>
    <w:rsid w:val="00217C42"/>
    <w:rsid w:val="00226A48"/>
    <w:rsid w:val="002279AF"/>
    <w:rsid w:val="0024117A"/>
    <w:rsid w:val="002456DC"/>
    <w:rsid w:val="0024596F"/>
    <w:rsid w:val="0027043C"/>
    <w:rsid w:val="00276F9E"/>
    <w:rsid w:val="00284D25"/>
    <w:rsid w:val="00290FC0"/>
    <w:rsid w:val="002A36A1"/>
    <w:rsid w:val="002C33EC"/>
    <w:rsid w:val="002C3B34"/>
    <w:rsid w:val="002C5934"/>
    <w:rsid w:val="002C7087"/>
    <w:rsid w:val="002E3D1B"/>
    <w:rsid w:val="002E555D"/>
    <w:rsid w:val="002E7430"/>
    <w:rsid w:val="003035E8"/>
    <w:rsid w:val="00306CD0"/>
    <w:rsid w:val="00313AD3"/>
    <w:rsid w:val="00313F81"/>
    <w:rsid w:val="00333474"/>
    <w:rsid w:val="00334A32"/>
    <w:rsid w:val="00340AC0"/>
    <w:rsid w:val="0035216D"/>
    <w:rsid w:val="00355D75"/>
    <w:rsid w:val="0036301D"/>
    <w:rsid w:val="00363331"/>
    <w:rsid w:val="003638FE"/>
    <w:rsid w:val="003729ED"/>
    <w:rsid w:val="00377ADB"/>
    <w:rsid w:val="00377EAB"/>
    <w:rsid w:val="003901A7"/>
    <w:rsid w:val="00391DDF"/>
    <w:rsid w:val="00394B7C"/>
    <w:rsid w:val="003A7A2B"/>
    <w:rsid w:val="003B3FB8"/>
    <w:rsid w:val="003B592A"/>
    <w:rsid w:val="003C3224"/>
    <w:rsid w:val="003D0AB7"/>
    <w:rsid w:val="003D4063"/>
    <w:rsid w:val="003D6B63"/>
    <w:rsid w:val="003F0635"/>
    <w:rsid w:val="003F21BE"/>
    <w:rsid w:val="003F290F"/>
    <w:rsid w:val="00404D52"/>
    <w:rsid w:val="00414374"/>
    <w:rsid w:val="00414561"/>
    <w:rsid w:val="00426001"/>
    <w:rsid w:val="00432F5E"/>
    <w:rsid w:val="004335D1"/>
    <w:rsid w:val="004368E8"/>
    <w:rsid w:val="004377A7"/>
    <w:rsid w:val="004413BD"/>
    <w:rsid w:val="00441D26"/>
    <w:rsid w:val="00442828"/>
    <w:rsid w:val="004464E3"/>
    <w:rsid w:val="00450497"/>
    <w:rsid w:val="00454F8F"/>
    <w:rsid w:val="00464209"/>
    <w:rsid w:val="004717E3"/>
    <w:rsid w:val="00471D4B"/>
    <w:rsid w:val="00476F02"/>
    <w:rsid w:val="00491F2C"/>
    <w:rsid w:val="00495165"/>
    <w:rsid w:val="00497114"/>
    <w:rsid w:val="004A0332"/>
    <w:rsid w:val="004A0B66"/>
    <w:rsid w:val="004A6E06"/>
    <w:rsid w:val="004C6A9F"/>
    <w:rsid w:val="004E051B"/>
    <w:rsid w:val="004E28CC"/>
    <w:rsid w:val="004E6056"/>
    <w:rsid w:val="004E6AD0"/>
    <w:rsid w:val="004E71F2"/>
    <w:rsid w:val="004F15F4"/>
    <w:rsid w:val="004F4DCA"/>
    <w:rsid w:val="00502023"/>
    <w:rsid w:val="00506815"/>
    <w:rsid w:val="0051137C"/>
    <w:rsid w:val="00512AFA"/>
    <w:rsid w:val="005134C7"/>
    <w:rsid w:val="00513FDE"/>
    <w:rsid w:val="00516768"/>
    <w:rsid w:val="00523C3D"/>
    <w:rsid w:val="005258AE"/>
    <w:rsid w:val="0053314D"/>
    <w:rsid w:val="00536119"/>
    <w:rsid w:val="00541FC2"/>
    <w:rsid w:val="00543083"/>
    <w:rsid w:val="00546D27"/>
    <w:rsid w:val="00561C47"/>
    <w:rsid w:val="0057382D"/>
    <w:rsid w:val="00573BBB"/>
    <w:rsid w:val="00577E3C"/>
    <w:rsid w:val="0058522F"/>
    <w:rsid w:val="00596EA7"/>
    <w:rsid w:val="005A2E05"/>
    <w:rsid w:val="005B5D80"/>
    <w:rsid w:val="005C102B"/>
    <w:rsid w:val="005C165C"/>
    <w:rsid w:val="005C27C8"/>
    <w:rsid w:val="005D2E7E"/>
    <w:rsid w:val="005E17D6"/>
    <w:rsid w:val="005E2A9E"/>
    <w:rsid w:val="005F3E3A"/>
    <w:rsid w:val="005F71A0"/>
    <w:rsid w:val="00602B32"/>
    <w:rsid w:val="00603161"/>
    <w:rsid w:val="0060437A"/>
    <w:rsid w:val="006058DB"/>
    <w:rsid w:val="00610FDC"/>
    <w:rsid w:val="006136C9"/>
    <w:rsid w:val="00614A93"/>
    <w:rsid w:val="00640F79"/>
    <w:rsid w:val="00650602"/>
    <w:rsid w:val="00656BE9"/>
    <w:rsid w:val="006572DD"/>
    <w:rsid w:val="006631B5"/>
    <w:rsid w:val="006640F9"/>
    <w:rsid w:val="00664BF3"/>
    <w:rsid w:val="00683697"/>
    <w:rsid w:val="00696769"/>
    <w:rsid w:val="006B6142"/>
    <w:rsid w:val="006C2060"/>
    <w:rsid w:val="006C6882"/>
    <w:rsid w:val="006D5512"/>
    <w:rsid w:val="006E46CC"/>
    <w:rsid w:val="006E738E"/>
    <w:rsid w:val="006F2A1B"/>
    <w:rsid w:val="006F420E"/>
    <w:rsid w:val="007027D1"/>
    <w:rsid w:val="00703EA5"/>
    <w:rsid w:val="00706C8E"/>
    <w:rsid w:val="00721FAC"/>
    <w:rsid w:val="00722B96"/>
    <w:rsid w:val="0072341F"/>
    <w:rsid w:val="007250BE"/>
    <w:rsid w:val="00734B31"/>
    <w:rsid w:val="00744960"/>
    <w:rsid w:val="00752FA4"/>
    <w:rsid w:val="00756602"/>
    <w:rsid w:val="007715B5"/>
    <w:rsid w:val="0077764D"/>
    <w:rsid w:val="00792375"/>
    <w:rsid w:val="007A4217"/>
    <w:rsid w:val="007A6A6F"/>
    <w:rsid w:val="007A7150"/>
    <w:rsid w:val="007B4E6A"/>
    <w:rsid w:val="007B6B00"/>
    <w:rsid w:val="007C094C"/>
    <w:rsid w:val="007C2FB2"/>
    <w:rsid w:val="007C7FC4"/>
    <w:rsid w:val="007D08D0"/>
    <w:rsid w:val="007D144E"/>
    <w:rsid w:val="007D750C"/>
    <w:rsid w:val="007E2BE0"/>
    <w:rsid w:val="007E71C0"/>
    <w:rsid w:val="0080103A"/>
    <w:rsid w:val="00805308"/>
    <w:rsid w:val="00812BF8"/>
    <w:rsid w:val="00813355"/>
    <w:rsid w:val="0081476D"/>
    <w:rsid w:val="0082568D"/>
    <w:rsid w:val="008272E1"/>
    <w:rsid w:val="0083131A"/>
    <w:rsid w:val="00837296"/>
    <w:rsid w:val="00844176"/>
    <w:rsid w:val="008506F4"/>
    <w:rsid w:val="00854727"/>
    <w:rsid w:val="00874780"/>
    <w:rsid w:val="00881CF8"/>
    <w:rsid w:val="008820A9"/>
    <w:rsid w:val="00882C5D"/>
    <w:rsid w:val="00886451"/>
    <w:rsid w:val="00892EAB"/>
    <w:rsid w:val="008A5E84"/>
    <w:rsid w:val="008B29C5"/>
    <w:rsid w:val="008B5053"/>
    <w:rsid w:val="008C03C8"/>
    <w:rsid w:val="008C03FA"/>
    <w:rsid w:val="008C1B0F"/>
    <w:rsid w:val="008C68EF"/>
    <w:rsid w:val="008D33F6"/>
    <w:rsid w:val="008D6960"/>
    <w:rsid w:val="008E0AE1"/>
    <w:rsid w:val="008F0BBF"/>
    <w:rsid w:val="008F0FDE"/>
    <w:rsid w:val="008F214A"/>
    <w:rsid w:val="008F4D3C"/>
    <w:rsid w:val="008F6BAE"/>
    <w:rsid w:val="009011EC"/>
    <w:rsid w:val="009015EA"/>
    <w:rsid w:val="00904469"/>
    <w:rsid w:val="0090508F"/>
    <w:rsid w:val="0090677C"/>
    <w:rsid w:val="0091101F"/>
    <w:rsid w:val="00920692"/>
    <w:rsid w:val="0092486A"/>
    <w:rsid w:val="00936C24"/>
    <w:rsid w:val="00944498"/>
    <w:rsid w:val="00944687"/>
    <w:rsid w:val="00945A82"/>
    <w:rsid w:val="0096056D"/>
    <w:rsid w:val="00960C14"/>
    <w:rsid w:val="009637FF"/>
    <w:rsid w:val="009649DC"/>
    <w:rsid w:val="00982609"/>
    <w:rsid w:val="009849B1"/>
    <w:rsid w:val="00992196"/>
    <w:rsid w:val="009926B3"/>
    <w:rsid w:val="00996846"/>
    <w:rsid w:val="009A19D7"/>
    <w:rsid w:val="009A3A66"/>
    <w:rsid w:val="009A430B"/>
    <w:rsid w:val="009A4947"/>
    <w:rsid w:val="009A5A5B"/>
    <w:rsid w:val="009A6E25"/>
    <w:rsid w:val="009B012C"/>
    <w:rsid w:val="009C3B67"/>
    <w:rsid w:val="009D0D9D"/>
    <w:rsid w:val="009D16A1"/>
    <w:rsid w:val="009D177E"/>
    <w:rsid w:val="009D585C"/>
    <w:rsid w:val="009F09E1"/>
    <w:rsid w:val="00A001E1"/>
    <w:rsid w:val="00A0092D"/>
    <w:rsid w:val="00A02D6B"/>
    <w:rsid w:val="00A21995"/>
    <w:rsid w:val="00A21AF6"/>
    <w:rsid w:val="00A23ABC"/>
    <w:rsid w:val="00A4660D"/>
    <w:rsid w:val="00A50173"/>
    <w:rsid w:val="00A526AB"/>
    <w:rsid w:val="00A71180"/>
    <w:rsid w:val="00A8255A"/>
    <w:rsid w:val="00A82E0B"/>
    <w:rsid w:val="00A8607A"/>
    <w:rsid w:val="00A93B50"/>
    <w:rsid w:val="00A9751A"/>
    <w:rsid w:val="00AB37FE"/>
    <w:rsid w:val="00AC5FBE"/>
    <w:rsid w:val="00AC6199"/>
    <w:rsid w:val="00AC6798"/>
    <w:rsid w:val="00AD68C7"/>
    <w:rsid w:val="00AD6DB4"/>
    <w:rsid w:val="00AE03BD"/>
    <w:rsid w:val="00AE2E7F"/>
    <w:rsid w:val="00AE3E73"/>
    <w:rsid w:val="00AE4399"/>
    <w:rsid w:val="00AE6190"/>
    <w:rsid w:val="00AE7EEC"/>
    <w:rsid w:val="00AF1B16"/>
    <w:rsid w:val="00B03D3B"/>
    <w:rsid w:val="00B14030"/>
    <w:rsid w:val="00B16528"/>
    <w:rsid w:val="00B16D99"/>
    <w:rsid w:val="00B2295B"/>
    <w:rsid w:val="00B22C8C"/>
    <w:rsid w:val="00B23524"/>
    <w:rsid w:val="00B3490F"/>
    <w:rsid w:val="00B37586"/>
    <w:rsid w:val="00B51CA0"/>
    <w:rsid w:val="00B5544B"/>
    <w:rsid w:val="00B65E2A"/>
    <w:rsid w:val="00B70623"/>
    <w:rsid w:val="00B872C5"/>
    <w:rsid w:val="00B87DB1"/>
    <w:rsid w:val="00B94957"/>
    <w:rsid w:val="00B969DD"/>
    <w:rsid w:val="00B9766A"/>
    <w:rsid w:val="00BA3D70"/>
    <w:rsid w:val="00BB3B7F"/>
    <w:rsid w:val="00BC00C6"/>
    <w:rsid w:val="00BC4230"/>
    <w:rsid w:val="00BC686B"/>
    <w:rsid w:val="00BD68AE"/>
    <w:rsid w:val="00BE4955"/>
    <w:rsid w:val="00BE64FE"/>
    <w:rsid w:val="00BF2E65"/>
    <w:rsid w:val="00BF435F"/>
    <w:rsid w:val="00C04369"/>
    <w:rsid w:val="00C054C2"/>
    <w:rsid w:val="00C10121"/>
    <w:rsid w:val="00C1064E"/>
    <w:rsid w:val="00C118FA"/>
    <w:rsid w:val="00C1717C"/>
    <w:rsid w:val="00C17F25"/>
    <w:rsid w:val="00C2368B"/>
    <w:rsid w:val="00C319C2"/>
    <w:rsid w:val="00C47B1F"/>
    <w:rsid w:val="00C54FBD"/>
    <w:rsid w:val="00C6003D"/>
    <w:rsid w:val="00C60D29"/>
    <w:rsid w:val="00C61720"/>
    <w:rsid w:val="00C64BFF"/>
    <w:rsid w:val="00C73439"/>
    <w:rsid w:val="00C83B48"/>
    <w:rsid w:val="00C85015"/>
    <w:rsid w:val="00C866C1"/>
    <w:rsid w:val="00C907D4"/>
    <w:rsid w:val="00C933DF"/>
    <w:rsid w:val="00C9443D"/>
    <w:rsid w:val="00CA1C90"/>
    <w:rsid w:val="00CA3748"/>
    <w:rsid w:val="00CA5CE1"/>
    <w:rsid w:val="00CA6E18"/>
    <w:rsid w:val="00CB0B27"/>
    <w:rsid w:val="00CB0C18"/>
    <w:rsid w:val="00CB31BA"/>
    <w:rsid w:val="00CB5F22"/>
    <w:rsid w:val="00CC2E07"/>
    <w:rsid w:val="00CC5AA4"/>
    <w:rsid w:val="00CC6AD9"/>
    <w:rsid w:val="00CD1FA0"/>
    <w:rsid w:val="00CD2189"/>
    <w:rsid w:val="00CD666C"/>
    <w:rsid w:val="00CD6BFD"/>
    <w:rsid w:val="00CF17DB"/>
    <w:rsid w:val="00D20849"/>
    <w:rsid w:val="00D261DB"/>
    <w:rsid w:val="00D347F3"/>
    <w:rsid w:val="00D46C50"/>
    <w:rsid w:val="00D55419"/>
    <w:rsid w:val="00D60533"/>
    <w:rsid w:val="00D6115B"/>
    <w:rsid w:val="00D6282F"/>
    <w:rsid w:val="00D63DE3"/>
    <w:rsid w:val="00D64EBB"/>
    <w:rsid w:val="00D7388C"/>
    <w:rsid w:val="00D83C8E"/>
    <w:rsid w:val="00D84D05"/>
    <w:rsid w:val="00D922F7"/>
    <w:rsid w:val="00D93D8A"/>
    <w:rsid w:val="00DA07BC"/>
    <w:rsid w:val="00DA3004"/>
    <w:rsid w:val="00DA4B30"/>
    <w:rsid w:val="00DB0D2F"/>
    <w:rsid w:val="00DC41D2"/>
    <w:rsid w:val="00DC4644"/>
    <w:rsid w:val="00DD047D"/>
    <w:rsid w:val="00DD1073"/>
    <w:rsid w:val="00DD47E6"/>
    <w:rsid w:val="00DE3C27"/>
    <w:rsid w:val="00DE7461"/>
    <w:rsid w:val="00E036D0"/>
    <w:rsid w:val="00E16B32"/>
    <w:rsid w:val="00E205D9"/>
    <w:rsid w:val="00E22D47"/>
    <w:rsid w:val="00E23528"/>
    <w:rsid w:val="00E24260"/>
    <w:rsid w:val="00E35C69"/>
    <w:rsid w:val="00E37A23"/>
    <w:rsid w:val="00E41D5E"/>
    <w:rsid w:val="00E458DC"/>
    <w:rsid w:val="00E478FC"/>
    <w:rsid w:val="00E52829"/>
    <w:rsid w:val="00E53112"/>
    <w:rsid w:val="00E611ED"/>
    <w:rsid w:val="00E6154D"/>
    <w:rsid w:val="00E63EA2"/>
    <w:rsid w:val="00E67F5F"/>
    <w:rsid w:val="00E71257"/>
    <w:rsid w:val="00E72780"/>
    <w:rsid w:val="00E72A06"/>
    <w:rsid w:val="00E76EE6"/>
    <w:rsid w:val="00E84065"/>
    <w:rsid w:val="00E85D57"/>
    <w:rsid w:val="00E915B3"/>
    <w:rsid w:val="00E9513C"/>
    <w:rsid w:val="00EB5604"/>
    <w:rsid w:val="00EB7979"/>
    <w:rsid w:val="00EC5790"/>
    <w:rsid w:val="00EC6729"/>
    <w:rsid w:val="00ED4CEE"/>
    <w:rsid w:val="00ED55BB"/>
    <w:rsid w:val="00ED7562"/>
    <w:rsid w:val="00EE0544"/>
    <w:rsid w:val="00EE08E8"/>
    <w:rsid w:val="00EE1E76"/>
    <w:rsid w:val="00EE7B94"/>
    <w:rsid w:val="00F01516"/>
    <w:rsid w:val="00F15531"/>
    <w:rsid w:val="00F200BD"/>
    <w:rsid w:val="00F20384"/>
    <w:rsid w:val="00F21A6E"/>
    <w:rsid w:val="00F23607"/>
    <w:rsid w:val="00F34E1E"/>
    <w:rsid w:val="00F3716D"/>
    <w:rsid w:val="00F56087"/>
    <w:rsid w:val="00F6576E"/>
    <w:rsid w:val="00F66AA1"/>
    <w:rsid w:val="00F70FCA"/>
    <w:rsid w:val="00F76A33"/>
    <w:rsid w:val="00F86CD5"/>
    <w:rsid w:val="00F87053"/>
    <w:rsid w:val="00F904F2"/>
    <w:rsid w:val="00F9286F"/>
    <w:rsid w:val="00F97CD9"/>
    <w:rsid w:val="00FA097D"/>
    <w:rsid w:val="00FB11BC"/>
    <w:rsid w:val="00FB16D8"/>
    <w:rsid w:val="00FB6E09"/>
    <w:rsid w:val="00FC0F61"/>
    <w:rsid w:val="00FD0D6A"/>
    <w:rsid w:val="00FE4A46"/>
    <w:rsid w:val="00FF223C"/>
    <w:rsid w:val="00FF5726"/>
    <w:rsid w:val="00FF5EEB"/>
    <w:rsid w:val="00FF7272"/>
    <w:rsid w:val="17DA13B6"/>
    <w:rsid w:val="1D7B635E"/>
    <w:rsid w:val="1FE6F37E"/>
    <w:rsid w:val="23BB0764"/>
    <w:rsid w:val="2AFF1707"/>
    <w:rsid w:val="33CB8748"/>
    <w:rsid w:val="35CB78D2"/>
    <w:rsid w:val="377F775A"/>
    <w:rsid w:val="39DF6930"/>
    <w:rsid w:val="3AC7E717"/>
    <w:rsid w:val="3ADFCEB5"/>
    <w:rsid w:val="3AFB3E6D"/>
    <w:rsid w:val="3B7ED14E"/>
    <w:rsid w:val="3CFEC44F"/>
    <w:rsid w:val="46CE362C"/>
    <w:rsid w:val="51CD7451"/>
    <w:rsid w:val="57F2C9BB"/>
    <w:rsid w:val="58FF746B"/>
    <w:rsid w:val="5EF32DD7"/>
    <w:rsid w:val="5EFFF5C1"/>
    <w:rsid w:val="5FCE00F1"/>
    <w:rsid w:val="5FFEA378"/>
    <w:rsid w:val="5FFF2023"/>
    <w:rsid w:val="62F7B13F"/>
    <w:rsid w:val="659E21AD"/>
    <w:rsid w:val="66D63035"/>
    <w:rsid w:val="679D0998"/>
    <w:rsid w:val="67F9E2AF"/>
    <w:rsid w:val="696FC99D"/>
    <w:rsid w:val="6BDDE0DA"/>
    <w:rsid w:val="6BE768A5"/>
    <w:rsid w:val="6BF5F598"/>
    <w:rsid w:val="6DD7F509"/>
    <w:rsid w:val="6E9ED565"/>
    <w:rsid w:val="6FDCA86F"/>
    <w:rsid w:val="6FF6D5F8"/>
    <w:rsid w:val="719E77A7"/>
    <w:rsid w:val="73D95963"/>
    <w:rsid w:val="75D7523D"/>
    <w:rsid w:val="75ED683C"/>
    <w:rsid w:val="765E638E"/>
    <w:rsid w:val="77B730FC"/>
    <w:rsid w:val="77BE17C6"/>
    <w:rsid w:val="77E773FF"/>
    <w:rsid w:val="77EFAD62"/>
    <w:rsid w:val="789EF77A"/>
    <w:rsid w:val="79EF89EA"/>
    <w:rsid w:val="7AECCE89"/>
    <w:rsid w:val="7AF7DE66"/>
    <w:rsid w:val="7B7EF1EB"/>
    <w:rsid w:val="7BAEF8CE"/>
    <w:rsid w:val="7BF92854"/>
    <w:rsid w:val="7CFE370A"/>
    <w:rsid w:val="7D4B974D"/>
    <w:rsid w:val="7DFEFD0F"/>
    <w:rsid w:val="7EB372F7"/>
    <w:rsid w:val="7EB5E658"/>
    <w:rsid w:val="7EBBA5C0"/>
    <w:rsid w:val="7EEBB6D3"/>
    <w:rsid w:val="7EFBEE5D"/>
    <w:rsid w:val="7F77A0D7"/>
    <w:rsid w:val="7F87FB7D"/>
    <w:rsid w:val="7FB74488"/>
    <w:rsid w:val="7FBE7155"/>
    <w:rsid w:val="7FF08AC5"/>
    <w:rsid w:val="7FF395B8"/>
    <w:rsid w:val="7FFE5CB0"/>
    <w:rsid w:val="7FFFE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E937B"/>
  <w15:docId w15:val="{4D91491D-5DB3-41D1-80F1-63EFB887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Pr>
      <w:rFonts w:cs="Times New Roman"/>
      <w:b/>
      <w:bCs/>
    </w:rPr>
  </w:style>
  <w:style w:type="character" w:styleId="ac">
    <w:name w:val="page number"/>
    <w:uiPriority w:val="99"/>
    <w:qFormat/>
    <w:rPr>
      <w:rFonts w:cs="Times New Roman"/>
    </w:rPr>
  </w:style>
  <w:style w:type="character" w:customStyle="1" w:styleId="10">
    <w:name w:val="标题 1 字符"/>
    <w:link w:val="1"/>
    <w:uiPriority w:val="99"/>
    <w:qFormat/>
    <w:locked/>
    <w:rPr>
      <w:rFonts w:ascii="Times New Roman" w:eastAsia="宋体" w:hAnsi="Times New Roman" w:cs="Times New Roman"/>
      <w:b/>
      <w:bCs/>
      <w:kern w:val="44"/>
      <w:sz w:val="44"/>
      <w:szCs w:val="44"/>
    </w:rPr>
  </w:style>
  <w:style w:type="character" w:customStyle="1" w:styleId="a5">
    <w:name w:val="批注框文本 字符"/>
    <w:link w:val="a4"/>
    <w:uiPriority w:val="99"/>
    <w:semiHidden/>
    <w:qFormat/>
    <w:locked/>
    <w:rPr>
      <w:rFonts w:cs="Times New Roman"/>
      <w:sz w:val="18"/>
      <w:szCs w:val="18"/>
    </w:rPr>
  </w:style>
  <w:style w:type="character" w:customStyle="1" w:styleId="a7">
    <w:name w:val="页脚 字符"/>
    <w:link w:val="a6"/>
    <w:uiPriority w:val="99"/>
    <w:qFormat/>
    <w:locked/>
    <w:rPr>
      <w:rFonts w:cs="Times New Roman"/>
      <w:sz w:val="18"/>
      <w:szCs w:val="18"/>
    </w:rPr>
  </w:style>
  <w:style w:type="character" w:customStyle="1" w:styleId="a9">
    <w:name w:val="页眉 字符"/>
    <w:link w:val="a8"/>
    <w:uiPriority w:val="99"/>
    <w:qFormat/>
    <w:locked/>
    <w:rPr>
      <w:rFonts w:cs="Times New Roman"/>
      <w:sz w:val="18"/>
      <w:szCs w:val="18"/>
    </w:rPr>
  </w:style>
  <w:style w:type="paragraph" w:customStyle="1" w:styleId="1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561</Words>
  <Characters>3204</Characters>
  <Application>Microsoft Office Word</Application>
  <DocSecurity>0</DocSecurity>
  <Lines>26</Lines>
  <Paragraphs>7</Paragraphs>
  <ScaleCrop>false</ScaleCrop>
  <Company>qdkjj</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jifang</dc:creator>
  <cp:lastModifiedBy>wenjing tao</cp:lastModifiedBy>
  <cp:revision>23</cp:revision>
  <cp:lastPrinted>2025-01-10T04:06:00Z</cp:lastPrinted>
  <dcterms:created xsi:type="dcterms:W3CDTF">2023-10-21T22:03:00Z</dcterms:created>
  <dcterms:modified xsi:type="dcterms:W3CDTF">2025-01-10T04:08:00Z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DA6B0260B702FC4614CF3167CD0A8EF2</vt:lpwstr>
  </property>
</Properties>
</file>